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7"/>
        <w:gridCol w:w="3274"/>
      </w:tblGrid>
      <w:tr w:rsidR="008D3447" w14:paraId="4E0F18E0" w14:textId="7777777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B9572" w14:textId="77777777" w:rsidR="00B365EC" w:rsidRDefault="00B365EC">
            <w:r>
              <w:t> </w:t>
            </w:r>
          </w:p>
        </w:tc>
        <w:tc>
          <w:tcPr>
            <w:tcW w:w="6075" w:type="dxa"/>
            <w:gridSpan w:val="2"/>
            <w:vAlign w:val="center"/>
            <w:hideMark/>
          </w:tcPr>
          <w:p w14:paraId="74612681" w14:textId="77777777" w:rsidR="00B365EC" w:rsidRDefault="00B365EC">
            <w:r>
              <w:t> </w:t>
            </w:r>
          </w:p>
        </w:tc>
      </w:tr>
      <w:tr w:rsidR="008D3447" w14:paraId="75FB33D5" w14:textId="7777777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A2683" w14:textId="77777777" w:rsidR="00B365EC" w:rsidRDefault="00B365EC">
            <w:pPr>
              <w:spacing w:after="60" w:line="276" w:lineRule="auto"/>
              <w:jc w:val="both"/>
            </w:pPr>
            <w: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440F7" w14:textId="77777777" w:rsidR="00B365EC" w:rsidRDefault="00B365EC">
            <w:pPr>
              <w:spacing w:after="60" w:line="276" w:lineRule="auto"/>
              <w:jc w:val="both"/>
            </w:pPr>
            <w: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D0140" w14:textId="77777777" w:rsidR="00B365EC" w:rsidRDefault="00B365EC">
            <w:pPr>
              <w:spacing w:line="276" w:lineRule="auto"/>
              <w:jc w:val="center"/>
            </w:pPr>
            <w:r>
              <w:rPr>
                <w:rFonts w:ascii="Arial" w:hAnsi="Arial" w:cs="Arial"/>
              </w:rPr>
              <w:t>Приложение 1</w:t>
            </w:r>
          </w:p>
          <w:p w14:paraId="7245AC98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  <w:i/>
                <w:iCs/>
                <w:lang w:val="ky-KG"/>
              </w:rPr>
              <w:t>(</w:t>
            </w:r>
            <w:r>
              <w:rPr>
                <w:rFonts w:ascii="Arial" w:hAnsi="Arial" w:cs="Arial"/>
                <w:i/>
                <w:iCs/>
              </w:rPr>
              <w:t xml:space="preserve">к </w:t>
            </w:r>
            <w:hyperlink r:id="rId6" w:history="1">
              <w:r>
                <w:rPr>
                  <w:rStyle w:val="a3"/>
                  <w:rFonts w:ascii="Arial" w:hAnsi="Arial" w:cs="Arial"/>
                  <w:i/>
                  <w:iCs/>
                </w:rPr>
                <w:t>постановлению</w:t>
              </w:r>
            </w:hyperlink>
            <w:r>
              <w:rPr>
                <w:rFonts w:ascii="Arial" w:hAnsi="Arial" w:cs="Arial"/>
                <w:i/>
                <w:iCs/>
                <w:color w:val="006600"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Правительства Кыргызской Республики</w:t>
            </w:r>
            <w:r>
              <w:rPr>
                <w:rFonts w:ascii="Arial" w:hAnsi="Arial" w:cs="Arial"/>
                <w:i/>
                <w:iCs/>
              </w:rPr>
              <w:br/>
              <w:t>от 4 мая 2021 года № 200)</w:t>
            </w:r>
          </w:p>
        </w:tc>
      </w:tr>
    </w:tbl>
    <w:p w14:paraId="410072E2" w14:textId="77777777" w:rsidR="00B365EC" w:rsidRDefault="00B365EC">
      <w:pPr>
        <w:spacing w:before="400" w:after="400" w:line="276" w:lineRule="auto"/>
        <w:ind w:left="1134" w:right="1134"/>
        <w:jc w:val="center"/>
      </w:pPr>
      <w:r>
        <w:rPr>
          <w:rFonts w:ascii="Arial" w:hAnsi="Arial" w:cs="Arial"/>
          <w:b/>
          <w:bCs/>
        </w:rPr>
        <w:t>ПРОГРАММА</w:t>
      </w:r>
      <w:r>
        <w:rPr>
          <w:rFonts w:ascii="Arial" w:hAnsi="Arial" w:cs="Arial"/>
          <w:b/>
          <w:bCs/>
        </w:rPr>
        <w:br/>
        <w:t>развития образования в Кыргызской Республике на 2021-2040 годы</w:t>
      </w:r>
    </w:p>
    <w:p w14:paraId="49440F5C" w14:textId="77777777" w:rsidR="00B365EC" w:rsidRDefault="00B365EC">
      <w:pPr>
        <w:spacing w:before="200" w:after="200" w:line="276" w:lineRule="auto"/>
        <w:ind w:left="1134" w:right="1134"/>
        <w:jc w:val="center"/>
      </w:pPr>
      <w:bookmarkStart w:id="0" w:name="r1"/>
      <w:bookmarkEnd w:id="0"/>
      <w:r>
        <w:rPr>
          <w:rFonts w:ascii="Arial" w:hAnsi="Arial" w:cs="Arial"/>
          <w:b/>
          <w:bCs/>
        </w:rPr>
        <w:t>1. Введение</w:t>
      </w:r>
    </w:p>
    <w:p w14:paraId="530E0C4B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Кыргызская Республика сегодня находится на пути адаптации к новым условиям жизни в экономической и социальной сферах. Система отечественного образования в условиях адаптации будет играть важнейшую роль, так как именно человеческий капитал и его гибкость будут определять возможность и способность страны успешно развиваться и адаптироваться к меняющимся условиям в будущем.</w:t>
      </w:r>
    </w:p>
    <w:p w14:paraId="5CFA8B36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 xml:space="preserve">Программа развития образования в Кыргызской Республике на 2021-2040 годы (далее - Программа) разработана в целях продолжения реализации реформ, заложенных в Стратегии развития образования в Кыргызской Республике на 2012-2020 годы, утвержденного </w:t>
      </w:r>
      <w:hyperlink r:id="rId7" w:history="1">
        <w:r>
          <w:rPr>
            <w:rStyle w:val="a3"/>
            <w:rFonts w:ascii="Arial" w:hAnsi="Arial" w:cs="Arial"/>
          </w:rPr>
          <w:t>постановлением</w:t>
        </w:r>
      </w:hyperlink>
      <w:r>
        <w:rPr>
          <w:rFonts w:ascii="Arial" w:hAnsi="Arial" w:cs="Arial"/>
        </w:rPr>
        <w:t xml:space="preserve"> Правительства Кыргызской Республики от 23 марта 2012 года № 201 (далее - Стратегия), и определяет государственную политику в соответствующей сфере, являясь программным документом.</w:t>
      </w:r>
    </w:p>
    <w:p w14:paraId="12BB7B06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Программа, ее задачи и индикаторы будут пересматриваться с учетом определения новых индикаторов ЦУР, а также при подготовке соответствующих планов действий, в которых будут изложены механизмы и мероприятия по поддержке достижения долгосрочных целей и стратегических направлений для сектора, наряду с целевыми показателями, затратами и обязанностями по осуществлению мониторинга прогресса.</w:t>
      </w:r>
    </w:p>
    <w:p w14:paraId="3D6B57F1" w14:textId="77777777" w:rsidR="00B365EC" w:rsidRDefault="00B365EC">
      <w:pPr>
        <w:spacing w:before="200" w:after="200" w:line="276" w:lineRule="auto"/>
        <w:ind w:left="1134" w:right="1134"/>
        <w:jc w:val="center"/>
      </w:pPr>
      <w:bookmarkStart w:id="1" w:name="r2"/>
      <w:bookmarkEnd w:id="1"/>
      <w:r>
        <w:rPr>
          <w:rFonts w:ascii="Arial" w:hAnsi="Arial" w:cs="Arial"/>
          <w:b/>
          <w:bCs/>
        </w:rPr>
        <w:t>2. Общая оценка текущей ситуации</w:t>
      </w:r>
    </w:p>
    <w:p w14:paraId="5A198C52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В качестве основных тенденций, формирующих основные направления Программы, выделяются следующие:</w:t>
      </w:r>
    </w:p>
    <w:p w14:paraId="2129027A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1. Демографические тенденции.</w:t>
      </w:r>
    </w:p>
    <w:p w14:paraId="3D50D03F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За период реализации Стратегии общее количество граждан Кыргызской Республики возросло приблизительно на 1 млн. человек.</w:t>
      </w:r>
    </w:p>
    <w:p w14:paraId="6051D721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Количество детей в возрасте от 3 до 17 лет включительно за отчетный период возросло с 28,7% до 30,4% и составило 2 млн. 17 тыс. человек.</w:t>
      </w:r>
    </w:p>
    <w:p w14:paraId="3EB6E973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Это связано со стабильным демографическим ростом рождаемости - если в 2012 году прирост детей, рожденных живыми, составлял 155 тыс. детей, то в 2020 году - уже 158 тыс. детей.</w:t>
      </w:r>
    </w:p>
    <w:p w14:paraId="0A26C02A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Согласно данным ООН, в 2025 году в Кыргызстане будет максимальный прирост населения за последние 74 года, который составит 5,92%. Соответственно, с 2028 года максимальная нагрузка придется на детские сады, а с 2032 года максимальная нагрузка ляжет на школы Кыргызской Республики.</w:t>
      </w:r>
    </w:p>
    <w:p w14:paraId="0BA6C781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Соответственно, демографическая ситуация будет оказывать растущее давление на развитие инфраструктуры системы образования, которая отстает от скорости роста численности населения, особенно в городах, а также потребует выстраивания опережающей политики строительства социальных объектов для сохранения охвата детей и населения в целом системой образования и улучшения качества образования. Увеличение числа учащихся неизбежно влечет за собой увеличение нагрузки на преподавателей, что формирует необходимость опережающей политики привлечения и подготовки педагогических кадров не только по количественным, но по качественным показателям.</w:t>
      </w:r>
    </w:p>
    <w:p w14:paraId="184054D7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2. Глобализация.</w:t>
      </w:r>
    </w:p>
    <w:p w14:paraId="77037FB0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В условиях глобализации система образования вступает в международную образовательную среду и уже должна быть ориентирована на подготовку специалистов, которые могут быть востребованы не только на отечественном, но и на глобальном рынке труда. В связи с этим будут возрастать требования к качеству образования для повышения конкурентоспособности системы образования в мировом образовательном пространстве; будет увеличиваться потребность в формировании социально-эмоциональных/гибких навыков на разных уровнях образования; будут включены в содержание образования таких результатов обучения, как глобальная гражданственность, толерантность, межкультурные коммуникации, многоязычное образование.</w:t>
      </w:r>
    </w:p>
    <w:p w14:paraId="5C467CFF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3. Развитие технологий - цифровизация.</w:t>
      </w:r>
    </w:p>
    <w:p w14:paraId="1736186F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Развитие новых технологий будет требовать освоения потенциала новых технологий, обучения цифровым навыкам. В связи с этим перед системой образования будет все больше возрастать необходимость повышения компьютерной грамотности среди преподавателей и учащихся, улучшения образовательной инфраструктуры с учетом цифровых технологий, усиления дистанционных и других форм предоставления образования, через меняющуюся технологическую среду.</w:t>
      </w:r>
    </w:p>
    <w:p w14:paraId="11540CFB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4. Социально-экономическая дифференциация.</w:t>
      </w:r>
    </w:p>
    <w:p w14:paraId="6082A491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Разрыв между населением с высоким и низким уровнями доходов углубляется как в развитых, так и в развивающихся странах. Уровень бедности в Кыргызстане в 2020 году вырос до 31%, что на 11% больше, чем в 2019 году. Целевая политика по реагированию на данную проблему должна увеличивать доступ к образованию разных категорий (включая детей с инвалидностью, детей из уязвимых категорий семей), и тем более доступ к качественному образованию в целом.</w:t>
      </w:r>
    </w:p>
    <w:p w14:paraId="0EF02F09" w14:textId="77777777" w:rsidR="00B365EC" w:rsidRDefault="00B365EC">
      <w:pPr>
        <w:spacing w:before="200" w:after="200" w:line="276" w:lineRule="auto"/>
        <w:ind w:left="1134" w:right="1134"/>
        <w:jc w:val="center"/>
      </w:pPr>
      <w:bookmarkStart w:id="2" w:name="r3"/>
      <w:bookmarkEnd w:id="2"/>
      <w:r>
        <w:rPr>
          <w:rFonts w:ascii="Arial" w:hAnsi="Arial" w:cs="Arial"/>
          <w:b/>
          <w:bCs/>
        </w:rPr>
        <w:t>3. Достижения и проблемы</w:t>
      </w:r>
    </w:p>
    <w:p w14:paraId="2F493660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За период реализации Стратегии удалось достичь следующих результатов по охвату образованием:</w:t>
      </w:r>
    </w:p>
    <w:p w14:paraId="26B7CD01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совокупный коэффициент охвата образованием населения в возрасте 7-24 лет повысился с 69,5% в 2012 году до 78,9% в 2020 году;</w:t>
      </w:r>
    </w:p>
    <w:p w14:paraId="744067D1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число типовых детских садов возросло с 819 в 2012 году до 1648 в 2020 году, охват в них - с 16,1% до 22,2% соответственно (со 115 тыс. детей до 196 тыс.);</w:t>
      </w:r>
    </w:p>
    <w:p w14:paraId="65DBAF90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с 2012 года увеличился охват детей соответствующего возраста школьным образованием (1-11 классы) с 88,7% до 97,8% в 2020 году (с 1 млн. 12 тыс. учащихся до 1 млн. 357 тыс.), а число школ увеличилось с 2201 до 2296;</w:t>
      </w:r>
    </w:p>
    <w:p w14:paraId="37EB2438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на уровне начального профессионального образования в профлицеях контингент учащихся был стабилен в диапазоне 29-32 тыс. учеников, что составляет порядка 10% населения в возрасте 15-17 лет. При этом число профлицеев было оптимизировано со 110 до 99, с сохранением общего контингента;</w:t>
      </w:r>
    </w:p>
    <w:p w14:paraId="52D94A51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в системе среднего профессионального образования на уровне спузов контингент вырос с 2012 года с 83 тыс. до 95 тыс. студентов в 2020 году (24% населения в возрасте 17-20 лет). Число самих спузов выросло со 132 до 138 (105 государственных и 33 негосударственных). 11,6 тыс. студентов обучается на бюджете, 84,3 тыс. студентов - на контракте;</w:t>
      </w:r>
    </w:p>
    <w:p w14:paraId="7504D453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в республике функционирует 57 вузов (40 государственных и 17 негосударственных). Общий контингент студентов - 214 тыс. (26,5% от числа населения в возрасте 17-24). Из общего числа студентов 12,1% обучаются на бюджете;</w:t>
      </w:r>
    </w:p>
    <w:p w14:paraId="55525841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по педагогическому составу в сравнении 2012 и 2020 годов:</w:t>
      </w:r>
    </w:p>
    <w:p w14:paraId="5310A93A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на уровне дошкольного образования увеличилось число воспитателей с 4053 до 8301;</w:t>
      </w:r>
    </w:p>
    <w:p w14:paraId="4138FA53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на уровне школьного образования - с 75 тыс. до 82 тыс. учителей;</w:t>
      </w:r>
    </w:p>
    <w:p w14:paraId="41E81D57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на уровне профлицеев число педагогов уменьшилось в связи с оптимизацией системы, с 3920 до 3403;</w:t>
      </w:r>
    </w:p>
    <w:p w14:paraId="00BA6E9F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на уровне спузов - увеличилось с 6343 до 7299 педагогов;</w:t>
      </w:r>
    </w:p>
    <w:p w14:paraId="0B327F57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на уровне вузов - уменьшилось с 12633 до 12197 педагогов.</w:t>
      </w:r>
    </w:p>
    <w:p w14:paraId="2B4BDB37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По итогам 2020 года чистый процент реализации мероприятий Стратегии составил 84,3%, а процент частичного исполнения (от 16,6% до 97,9%) составил 15,6%. Соответственно, с учетом процентности полностью исполненных и частично исполненных мероприятий Стратегии - общий процент исполнения составил 91%.</w:t>
      </w:r>
    </w:p>
    <w:p w14:paraId="18258B36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К частично исполненным отнесены мероприятия, которые не были завершены из-за дефицита бюджета, а также в условиях отсутствия возможности реального обучения в период пандемии.</w:t>
      </w:r>
    </w:p>
    <w:p w14:paraId="735A579D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К основным достижениям за период 2012-2020 годов можно отнести следующие:</w:t>
      </w:r>
    </w:p>
    <w:p w14:paraId="6BE0250C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создана годовая (по 3 часа в день) предшкольная подготовка на базе 4000 классов для 100 тыс. детей в возрасте 5,5-7 лет, которые не имеют доступа к дошкольному образованию. С учетом детей, которые ходят в типовые детские сады - общий охват программами развития составил к 2020 году 40% детей в возрасте 3-7 лет. Позитивное влияние дошкольных программ на результаты обучения подтверждается результатами НООДУ 2017 года, которые указывают на увеличение индекса в среднем на 26,2 балла, по математике - на 21,6 балла, по родиноведению - на 14,2 балла у детей, получивших дошкольное образование;</w:t>
      </w:r>
    </w:p>
    <w:p w14:paraId="10FA1B19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впервые был разработан государственный образовательный стандарт для уровня дошкольного образования, а также государственный образовательный стандарт для школьного образования на компетентностной основе;</w:t>
      </w:r>
    </w:p>
    <w:p w14:paraId="65EE4A8C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для стимулирования роста частных детских садов и школ по всей стране были облегчены требования к санитарно-эпидемиологические требования к условиям и организации обучения/содержания в школах и детских садах, правилам пожарной безопасности при выдаче лицензии, а также на законодательном уровне введены нормы об освобождении частных детских садов и школ от налогов с продаж, на прибыль и на добавленную стоимость;</w:t>
      </w:r>
    </w:p>
    <w:p w14:paraId="01AECD1B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реализованы инициативы "Электронная очередь в дошкольные образовательные организации" и "Электронная запись в первый класс";</w:t>
      </w:r>
    </w:p>
    <w:p w14:paraId="29FF3C08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впервые началась разработка и внедрение предметных стандартов для школьного образования;</w:t>
      </w:r>
    </w:p>
    <w:p w14:paraId="3FAED3BA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была создана система оценивания уровня знания государственного языка "Кыргызтест";</w:t>
      </w:r>
    </w:p>
    <w:p w14:paraId="30FD68BA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внедрены пилотные механизмы многоязычного обучения - детский сад - школа - вуз;</w:t>
      </w:r>
    </w:p>
    <w:p w14:paraId="04A77F77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обеспеченность учебниками возросла с 49,6% до 72%;</w:t>
      </w:r>
    </w:p>
    <w:p w14:paraId="28D1AE2E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внедрен новый порядок проведения аттестации учителей и выплаты надбавок учителям за квалификационную категорию;</w:t>
      </w:r>
    </w:p>
    <w:p w14:paraId="0F13EC29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создан Республиканский институт повышения квалификации и переподготовки педагогических работников при Министерстве образования и науки Кыргызской Республики;</w:t>
      </w:r>
    </w:p>
    <w:p w14:paraId="0A57A562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создана система горячего питания в школах, которой охвачено уже 1635 школ, и принят Закон Кыргызской Республики "Об организации питания учащихся в общеобразовательных организациях" от 4 декабря 2019 года № 135;</w:t>
      </w:r>
    </w:p>
    <w:p w14:paraId="5F7054D3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утверждены стандарты безопасности образовательной среды по трем параметрам: физической, экологической, психологической безопасности;</w:t>
      </w:r>
    </w:p>
    <w:p w14:paraId="737313A4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утверждена Концепция развития инклюзивного образования в Кыргызской Республике, впервые в Центральной Азии открыта лаборатория инклюзивного образования для системной подготовки специалистов по инклюзивному подходу;</w:t>
      </w:r>
    </w:p>
    <w:p w14:paraId="20C5777C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возвращена в новом формате система аренды учебников, для администрирования которой создано государственное учреждение "Жаны китеп";</w:t>
      </w:r>
    </w:p>
    <w:p w14:paraId="5285A218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внедряются инициативы по подготовке учебников отечественных авторов;</w:t>
      </w:r>
    </w:p>
    <w:p w14:paraId="6BA84896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все школы, профлицеи и вузы Кыргызской Республики охвачены подушевым (нормативным) финансированием, отработан подобный пилот на уровне среднего профессионального и дошкольного образования;</w:t>
      </w:r>
    </w:p>
    <w:p w14:paraId="31F5827A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финансирование образовательных организаций, ранее финансируемых местным бюджетом, переведено на республиканский бюджет через территориальные подразделения Министерства образования и науки Кыргызской Республики;</w:t>
      </w:r>
    </w:p>
    <w:p w14:paraId="329B5006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проведена 100% инвентаризация школ на предмет технического состояния;</w:t>
      </w:r>
    </w:p>
    <w:p w14:paraId="0B59B785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показатель из расчета "50 учеников на 1 компьютер" улучшился до 28 учеников на 1 компьютер;</w:t>
      </w:r>
    </w:p>
    <w:p w14:paraId="0BE22BC8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с 2,4% до 99% вырос процент школ, использующих в обучении сеть Интернет, оставшиеся 20 школ в высокогорных регионах были оснащены оборудованием Илим-бокс, которое позволяет им изучать образовательные ресурсы с помощью локальной беспроводной связи, в связи с отсутствием технической возможности установки кабельного Интернета;</w:t>
      </w:r>
    </w:p>
    <w:p w14:paraId="7EB64F8D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на уровне профессионального образования разработаны новые макеты государственных образовательных стандартов, перечни направлений, специальностей и нормативных сроков обучения, государственные стандарты нового поколения;</w:t>
      </w:r>
    </w:p>
    <w:p w14:paraId="3316C165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созданы пилотные центры передового опыта в начальном и среднем профессиональном образовании;</w:t>
      </w:r>
    </w:p>
    <w:p w14:paraId="0B060C32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внедрен механизм определения и выделения грантовых мест в вузах только при наличии заявок работодателей;</w:t>
      </w:r>
    </w:p>
    <w:p w14:paraId="020E9F1A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введена двухуровневая структура высшего профессионального образования - бакалавриат и магистратура, а также квалификация PhD;</w:t>
      </w:r>
    </w:p>
    <w:p w14:paraId="05FA601F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всего в период с 2014 по 2019 годы (начало действия бессрочной лицензии) 1443 юридическим лицам выданы лицензии на право ведения образовательной деятельности по 5884 программам дополнительного (неформального) образования взрослых;</w:t>
      </w:r>
    </w:p>
    <w:p w14:paraId="7146372A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разработана Национальная система квалификаций;</w:t>
      </w:r>
    </w:p>
    <w:p w14:paraId="2DBF360B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создано 7 научно-исследовательских институтов при вузах, меморандумы об интеграции подписаны в 6 вузах и 17 научно-исследовательских институтах;</w:t>
      </w:r>
    </w:p>
    <w:p w14:paraId="1B890F00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разделены процедуры лицензирования и аккредитации, внедрена независимая аккредитация на принципах аутсорсинга;</w:t>
      </w:r>
    </w:p>
    <w:p w14:paraId="74114605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разработана Информационная система управления образованием, соответствующие индикаторы и программное обеспечение.</w:t>
      </w:r>
    </w:p>
    <w:p w14:paraId="55B8118C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Объем государственного бюджета на образование вырос с 2012 года с 21,7 млрд. до 39,9 млрд. сомов в 2020 году (из них расходы республиканского бюджета - 34,3 млрд. и 5,6 млрд. - местного бюджета). Это связано с двумя факторами: увеличением контингента обучающихся и повышением заработной платы учителям.</w:t>
      </w:r>
    </w:p>
    <w:p w14:paraId="1185F8B6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Если в 2012 году средняя зарплата учителя составляла 3500 сомов в месяц, то в 2020 году - 17 тыс. сомов в месяц. Повышение заработной платы способствовало сокращению нехватки учителей в школах: если до 2012 года нехватка составляла 3,5-4 тыс. человек ежегодно, то в 2020 году она составила около 700 чел. Из всей суммы, выделяемой бюджетом на образование, 93% - это средства на зарплату учителей и социальные отчисления и только 7% - на развитие.</w:t>
      </w:r>
    </w:p>
    <w:p w14:paraId="5BA31138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В рамках антикризисного планирования при реагировании на ситуацию, связанную с распространением пандемии COV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>D-19, удалось реализовать такие меры, как:</w:t>
      </w:r>
    </w:p>
    <w:p w14:paraId="19D8668A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перевод всей системы образования в дистанционный формат, основанный на предоставлении образования и выводе системы в реальный режим обучения, спустя 12 месяцев;</w:t>
      </w:r>
    </w:p>
    <w:p w14:paraId="1DE283C4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создание и наполнение электронных образовательных платформ как для учащихся, так и для педагогов, электронных библиотек, платформ для онлайн тестирования школьников, съемка и размещение на телевизионных платформах более 7 тыс. видеоуроков для дошкольного и школьного уровня обучения, включая обеспечение части из них сурдопереводом;</w:t>
      </w:r>
    </w:p>
    <w:p w14:paraId="15E5C28F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организация дистанционного повышения квалификации учителей на специально созданной платформе, модернизация и разработка 128 программ повышения квалификации, из них 35 - онлайн-курсов;</w:t>
      </w:r>
    </w:p>
    <w:p w14:paraId="2A659EF3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перевод системы приема абитуриентов на уровнях профессионального образования в онлайн формате;</w:t>
      </w:r>
    </w:p>
    <w:p w14:paraId="178F9032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повышение размера стипендии студентов, обучающихся по педагогическим специальностям, в два раза: студентам вузов - до 1600 сомов в месяц, спузов - до 1440 сомов в месяц.</w:t>
      </w:r>
    </w:p>
    <w:p w14:paraId="799B7F50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Несмотря на позитивные сдвиги, остается актуальным ряд следующих проблем.</w:t>
      </w:r>
    </w:p>
    <w:p w14:paraId="5D702642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1. На уровне дошкольного образования:</w:t>
      </w:r>
    </w:p>
    <w:p w14:paraId="3278981B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продолжает сохраняться проблема неполного охвата детей дошкольным образованием: 77,8% детей в возрасте 3-5 лет не имеют доступа к дошкольному образованию в силу отсутствия мест в типовых детских садах полного дня пребывания;</w:t>
      </w:r>
    </w:p>
    <w:p w14:paraId="57700D63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наблюдается существенная разница в охвате дошкольным образованием между городом и селом: в 2020 году дошкольным образованием было охвачено 19,4% детей в селах, в то время как в городах - 36% детей;</w:t>
      </w:r>
    </w:p>
    <w:p w14:paraId="00BE770B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имеющиеся детские сады переполнены на 28 тыс. детей (детские сады посещают 196 тыс. детей при наличии только 168 тыс. мест) - это означает первоочередную нехватку 100 типовых детских садов на 280 мест каждый. В настоящее время есть группы по 60-80 детей на 1 воспитателя, что негативно сказывается на развитии и здоровье ребенка;</w:t>
      </w:r>
    </w:p>
    <w:p w14:paraId="25E99FF0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отсутствие эффективной системы мониторинга и оценки деятельности в дошкольном образовании;</w:t>
      </w:r>
    </w:p>
    <w:p w14:paraId="0EA983D9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слабая осведомленность родителей о важности развития детей в раннем возрасте.</w:t>
      </w:r>
    </w:p>
    <w:p w14:paraId="1833C9A7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2. На уровне школьного образования:</w:t>
      </w:r>
    </w:p>
    <w:p w14:paraId="15CBD523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неудовлетворенность в обществе качеством образования, несмотря на осуществляемые меры по развитию и росту выделяемых ресурсов. Наблюдается большой разрыв в качестве обучения между сельскими и городскими школами, а также школами с разными языками обучения. Например, процент учащихся 4 классов, набравших баллы ниже базового уровня по НООДУ в 2017 году, варьировался от 43% в г.Бишкек, до 60% в областных центрах и малых городах и до 70% в сельских школах. Наиболее низкий уровень достижения результатов обучения наблюдается по предметам естественно-математического цикла;</w:t>
      </w:r>
    </w:p>
    <w:p w14:paraId="47BC6A28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слабая обеспеченность школ компьютерным оборудованием, недостаточность программ обучения педагогов цифровым навыкам, цифровых материалов, платформ дистанционного обучения являются препятствием на пути к цифровизации процесса обучения;</w:t>
      </w:r>
    </w:p>
    <w:p w14:paraId="224158D6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угроза снижения охвата образованием: среди причин непосещения школ Национальный статистический комитет Кыргызской Республики выделяет такие, как инвалидность, материальные трудности в семье, необходимость в работе, семейные обстоятельства. Физическое отсутствие родителей рядом с детьми также ставит под угрозу посещение школы ребенком. Согласно данным ЮНИСЕФ, 12% детей Кыргызстана имеют хотя бы одного родителя за границей из числа трудовых мигрантов;</w:t>
      </w:r>
    </w:p>
    <w:p w14:paraId="3FF9D2DF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расходы на одного обучающегося до сих пор остаются недостаточными для обеспечения качественного обучения и создания в каждой школе современной образовательной среды. Кроме того, в среднем по стране дефицит покрытия минимальных стандартов бюджетного финансирования в школьном образовании составляет порядка 500 млн. сомов ежегодно. Систематическое недофинансирование рождает проблему школьных поборов. При этом, непрозрачность распределения собираемых средств вызывает возмущение общественности;</w:t>
      </w:r>
    </w:p>
    <w:p w14:paraId="6E1B99A3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имеются проблемы с доступом школ к базовым ресурсам: обеспеченность компьютерами составляет 42,1% от минимальной потребности; 25,7% школ не имеют доступа к чистой питьевой воде; у 74,4% школ нет внутренних санитарных узлов (туалетов); 68,2% школ не подключены к горячему водоснабжению. Последнее порождает проблему неполного охвата горячим питанием учащихся 1-4 классов. Оснащение школ мебелью и лабораториями не финансируется из средств республиканского бюджета;</w:t>
      </w:r>
    </w:p>
    <w:p w14:paraId="33E2003F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во многих школах состояние инфраструктуры угрожает жизни и здоровью учеников, при этом в них продолжается обучение по причине отсутствия других зданий. Так, 245 школ признаны аварийными, которые должны быть снесены и построены заново. Еще 457 школ республики требуют капитального ремонта кровли, фундамента, стен, водоснабжения, канализации;</w:t>
      </w:r>
    </w:p>
    <w:p w14:paraId="00303873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переполненность школ в городской местности вследствие внутренней миграции: с 2012 года в два раза возросло число школ, работающих в 3 смены (с 83 до 151), а 37 тыс. детей учатся в 3 смену, что категорически запрещено санитарно-эпидемиологическими правилами и нормативами;</w:t>
      </w:r>
    </w:p>
    <w:p w14:paraId="54F232CC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недостаточная привлекательность педагогической профессии и, как следствие, набор потенциально слабых кадров в систему образования; отсутствие системы профессионального роста и гибкой системы профессиональной поддержки педагогов; отсутствие целевой подготовки методистов;</w:t>
      </w:r>
    </w:p>
    <w:p w14:paraId="6A939D97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требующая обновления система мониторинга и оценки деятельности педагогов;</w:t>
      </w:r>
    </w:p>
    <w:p w14:paraId="3C119E25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высокая нагрузка в школах влияет на высокую нагрузку на учителей, и здесь важно учитывать также и риски оттока педагогических кадров, так как уровень заработной платы педагогов в Кыргызстане в три раза ниже, чем в среднем по странам ЕАЭС.</w:t>
      </w:r>
    </w:p>
    <w:p w14:paraId="0AECC7B0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3. На уровне начального и среднего профессионального образования:</w:t>
      </w:r>
    </w:p>
    <w:p w14:paraId="38B56109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отсутствие четкости требований, предъявляемых работодателями к выходящим на рынок труда выпускникам профлицеев и спузов, по причине отсутствия унифицированных профессиональных стандартов в Кыргызской Республике;</w:t>
      </w:r>
    </w:p>
    <w:p w14:paraId="215875A8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не выстроена система преемственности между ступенями профессионального образования, в виде унифицированных макетов государственных образовательных стандартов начального и среднего профессионального образования, использования кредитных технологий ведения учебного процесса;</w:t>
      </w:r>
    </w:p>
    <w:p w14:paraId="59A66A46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наблюдается значительная разбалансированность системы профессионального образования, в том числе территориальная: большая часть профессиональных лицеев расположена в сельской местности (56%); большая часть колледжей - в городах (96%), поэтому в ряде областей Кыргызской Республики профессии, предоставляемые в профлицеях, не имеют преемственности с профессиями, предлагаемыми в этом же регионе спузами, и, чтобы продолжить обучение по своей специальности на следующем уровне образования, выпускники профлицеев вынуждены переезжать или менять специальность/специализацию;</w:t>
      </w:r>
    </w:p>
    <w:p w14:paraId="6047DAC4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слабая связь с работодателями, что в том числе приводит к несоответствию количества и содержания программ профлицеев и спузов структуре рынка труда. Например, более 50% экономически активного населения Кыргызской Республики занимаются частным предпринимательством в области сельского хозяйства, однако только несколько спузов предлагают программы, предназначенные для этого конкретного сегмента населения. Во многих учебных программах профлицеев и спузов теоретический материал преобладает над возможностью получить практические компетенции;</w:t>
      </w:r>
    </w:p>
    <w:p w14:paraId="3FA07B27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отсутствие методологии и проведения прогностических исследований рынка труда в региональном измерении. В связи с нестабильностью экономики отсутствует прогноз потребности экономики в кадрах на длительный срок, что также не позволяет соотносить количество подготовленных кадров и результаты их обучения с требованиями рынка труда;</w:t>
      </w:r>
    </w:p>
    <w:p w14:paraId="0AA15ADE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недостаточность ресурсов в организациях начального и среднего профессионального образования. Большая часть ресурсов идет на социальную помощь и поддержание инфраструктуры системы, оставляя непосредственно на сам образовательный процесс и его материально-техническое обеспечение весьма ограниченные средства, что приводит к серьезным проблемам устаревания материально-технической базы организаций образования. Работа на устаревшем оборудовании не позволяет выпускникам ряда профессий получать необходимые на рынке труда профессиональные компетентности, что приводит или к безработице, или к переподготовке за собственный счет, или за счет работодателей;</w:t>
      </w:r>
    </w:p>
    <w:p w14:paraId="6B27A600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недостаток квалифицированных педагогических кадров/мастеров производственного обучения, что связано с физическим старением квалифицированного педагогического состава, ограниченными возможностями повышения квалификации для преподавателей и мастеров производственного обучения и отсутствием у многих педагогов/мастеров производственного обучения и опыта работы на современном оборудовании;</w:t>
      </w:r>
    </w:p>
    <w:p w14:paraId="6B184668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неэффективное управление, так как администрация многих учебных заведений профессионального образования не имеет современных управленческих навыков. Организации начального и среднего профессионального образования не имеют достаточной управленческой автономии, чтобы творчески и гибко реагировать на изменения рынка труда.</w:t>
      </w:r>
    </w:p>
    <w:p w14:paraId="1D520017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4. На уровне высшего профессионального и послевузовского образования:</w:t>
      </w:r>
    </w:p>
    <w:p w14:paraId="6DDA3304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подготовка кадров по устаревшим специальностям для "уходящей" ресурсозатратной экономики;</w:t>
      </w:r>
    </w:p>
    <w:p w14:paraId="66E4174A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устаревшие методы преподавания, низкий порог восприимчивости инноваций преподавательским составом, что также негативно влияет на качество образования, не соответствующее требованиям рынка труда и запросам общества;</w:t>
      </w:r>
    </w:p>
    <w:p w14:paraId="575E4F05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коррумпированность высшего образования, что привело к замене ценности образования ценностью диплома о высшем образовании;</w:t>
      </w:r>
    </w:p>
    <w:p w14:paraId="580A4430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слабое присутствие науки в деятельности вузов и низкая эффективность научных исследований. Объем средств, выделяемых на науку, составляет 0,08% от ВВП;</w:t>
      </w:r>
    </w:p>
    <w:p w14:paraId="1CE6C952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устаревшая материально-техническая база вузов не соответствует темпам развития современных технологий;</w:t>
      </w:r>
    </w:p>
    <w:p w14:paraId="5CC60722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недостаточная автономия вузов, в том числе в вопросах содержания образования и управления, что не позволяет вузам оперативно реагировать на изменяющиеся условия.</w:t>
      </w:r>
    </w:p>
    <w:p w14:paraId="340C93F8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5. На уровне образования взрослых:</w:t>
      </w:r>
    </w:p>
    <w:p w14:paraId="61956B28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несовершенство законодательной базы;</w:t>
      </w:r>
    </w:p>
    <w:p w14:paraId="3C3CC41C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финансирование программ образования взрослых из государственного бюджета производится только для зарегистрированных безработных;</w:t>
      </w:r>
    </w:p>
    <w:p w14:paraId="023C3334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отсутствие государственного финансирования обучения взрослых на уровне школьного образования (вечерние, заочные, сменные школы и классы);</w:t>
      </w:r>
    </w:p>
    <w:p w14:paraId="5A84FAE0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отсутствие профессиональных управленческих и педагогических кадров в области образования взрослых, в связи с отсутствием устойчивой системы подготовки и переподготовки;</w:t>
      </w:r>
    </w:p>
    <w:p w14:paraId="3A994AEE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недостаточные механизмы партнерства между формальным и неформальным секторами образования;</w:t>
      </w:r>
    </w:p>
    <w:p w14:paraId="25DC57FE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отсутствие центров сертификации, обеспечивающих признание профессионального опыта и компетенций, полученных неформальным путем;</w:t>
      </w:r>
    </w:p>
    <w:p w14:paraId="11286259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ограничение доступа к образованию взрослых в регионах из-за отсутствия провайдеров, предлагающих востребованные программы;</w:t>
      </w:r>
    </w:p>
    <w:p w14:paraId="5551B737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отсутствие культуры образования "на протяжении всей жизни" в обществе;</w:t>
      </w:r>
    </w:p>
    <w:p w14:paraId="3AEE8C60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отсутствие методологии анализа потребностей взрослого населения в обучении, в том числе лиц с ограниченными возможностями здоровья;</w:t>
      </w:r>
    </w:p>
    <w:p w14:paraId="6C8C1F15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отсутствие статистических данных об охвате граждан неформальным образованием, не подразумевающим выдачу документов государственного образца.</w:t>
      </w:r>
    </w:p>
    <w:p w14:paraId="56914B29" w14:textId="77777777" w:rsidR="00B365EC" w:rsidRDefault="00B365EC">
      <w:pPr>
        <w:spacing w:before="200" w:after="200" w:line="276" w:lineRule="auto"/>
        <w:ind w:left="1134" w:right="1134"/>
        <w:jc w:val="center"/>
      </w:pPr>
      <w:bookmarkStart w:id="3" w:name="r4"/>
      <w:bookmarkEnd w:id="3"/>
      <w:r>
        <w:rPr>
          <w:rFonts w:ascii="Arial" w:hAnsi="Arial" w:cs="Arial"/>
          <w:b/>
          <w:bCs/>
        </w:rPr>
        <w:t>4. Цели и задачи</w:t>
      </w:r>
    </w:p>
    <w:p w14:paraId="1EFD3857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Учитывая основные тенденции, предъявляемые к современной системе образования, стратегические направления развития страны, видение, цель, задачи системы образования до 2040 года обозначены следующим образом.</w:t>
      </w:r>
    </w:p>
    <w:p w14:paraId="73673047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Видение системы образования к 2040 году: система образования 2040 позволит человеку раскрыть свой интеллектуальный, творческий и эмоциональный потенциал в любом возрасте, будет предоставлять условия для обеспечения здорового образа жизни и благополучия учащихся и равные образовательные возможности для разных категорий граждан по всей стране, вне зависимости от географии проживания, гендерной принадлежности, религии, состояния здоровья, материального положения и других факторов. При этом приоритет будет отдан инновациям, способствующим развитию человеческих ресурсов в системе образования, качественного и конкурентоспособного образования, формирующего человека, способного взять на себя ответственность за свое развитие, мобильность, востребованность на рынке труда. Источником и участниками развития системы образования выступает не только государство, но и все общество.</w:t>
      </w:r>
    </w:p>
    <w:p w14:paraId="58B4095B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Целью системы образования к 2040 году является формирование творческого и здорового человеческого потенциала, свободно адаптирующегося и способного изменять подвижную социально-экономическую среду путем интеграции ресурсов и возможностей государства и общества, а также модернизации системы управления.</w:t>
      </w:r>
    </w:p>
    <w:p w14:paraId="0DD7C1C0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Достижение заявленной цели будет реализовано через соответствующие меры политики, направленные на решение трех основных задач:</w:t>
      </w:r>
    </w:p>
    <w:p w14:paraId="2930A67D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1. Обеспечение справедливого, равного доступа.</w:t>
      </w:r>
    </w:p>
    <w:p w14:paraId="4A6FC4AE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2. Обеспечение качества образования.</w:t>
      </w:r>
    </w:p>
    <w:p w14:paraId="3CD914B0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3. Эффективное управление и финансирование.</w:t>
      </w:r>
    </w:p>
    <w:p w14:paraId="6EFB76BB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Реализация всех трех задач предусмотрена на всех уровнях образования, и в рамках каждой из задач предусмотрены основные приоритеты.</w:t>
      </w:r>
    </w:p>
    <w:p w14:paraId="4006D91F" w14:textId="77777777" w:rsidR="00B365EC" w:rsidRDefault="00B365EC">
      <w:pPr>
        <w:spacing w:before="200" w:after="200" w:line="276" w:lineRule="auto"/>
        <w:ind w:left="1134" w:right="1134"/>
        <w:jc w:val="center"/>
      </w:pPr>
      <w:bookmarkStart w:id="4" w:name="r5"/>
      <w:bookmarkEnd w:id="4"/>
      <w:r>
        <w:rPr>
          <w:rFonts w:ascii="Arial" w:hAnsi="Arial" w:cs="Arial"/>
          <w:b/>
          <w:bCs/>
        </w:rPr>
        <w:t>5. Приоритеты</w:t>
      </w:r>
    </w:p>
    <w:p w14:paraId="61C45765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1. Обеспечение справедливого, равного доступа:</w:t>
      </w:r>
    </w:p>
    <w:p w14:paraId="4459B56D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охват образованием на всех уровнях системы образования;</w:t>
      </w:r>
    </w:p>
    <w:p w14:paraId="4091FA7A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обеспечение инклюзивности образования и его многоязычность;</w:t>
      </w:r>
    </w:p>
    <w:p w14:paraId="3B42F908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безопасная и эффективная среда обучения.</w:t>
      </w:r>
    </w:p>
    <w:p w14:paraId="1358722A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2. Обеспечение качества:</w:t>
      </w:r>
    </w:p>
    <w:p w14:paraId="432068F5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модернизация содержания образования на всех его уровнях;</w:t>
      </w:r>
    </w:p>
    <w:p w14:paraId="4D676595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цифровизация образования;</w:t>
      </w:r>
    </w:p>
    <w:p w14:paraId="12B0D229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система непрерывного профессионального развития педагогов;</w:t>
      </w:r>
    </w:p>
    <w:p w14:paraId="247B17E2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эффективная и объективная система мониторинга и оценивания результатов обучения;</w:t>
      </w:r>
    </w:p>
    <w:p w14:paraId="214FFA4B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качественные учебные материалы.</w:t>
      </w:r>
    </w:p>
    <w:p w14:paraId="1441C3C6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3. Эффективное управление и финансирование:</w:t>
      </w:r>
    </w:p>
    <w:p w14:paraId="3A004312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улучшение управления человеческими ресурсами, организационным, техническим и административным потенциалом для обеспечения системного подхода к управлению сферой образования и планированию образовательной политики;</w:t>
      </w:r>
    </w:p>
    <w:p w14:paraId="3719CF99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укрепление перехода к нормативному финансированию на всех уровнях образования и к большей самостоятельности в управлении ресурсами на уровне самих образовательных организаций;</w:t>
      </w:r>
    </w:p>
    <w:p w14:paraId="743DF40D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аккредитация и лицензирование, осуществление необходимого контроля за образовательными услугами и их результатами;</w:t>
      </w:r>
    </w:p>
    <w:p w14:paraId="07C87DE7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регулярный мониторинг реализации и оценки результатов функционирования и результативности системы образования;</w:t>
      </w:r>
    </w:p>
    <w:p w14:paraId="3192BF0A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автоматизация системы управления образованием.</w:t>
      </w:r>
    </w:p>
    <w:p w14:paraId="65B7BE58" w14:textId="77777777" w:rsidR="00B365EC" w:rsidRDefault="00B365EC">
      <w:pPr>
        <w:spacing w:before="200" w:after="200" w:line="276" w:lineRule="auto"/>
        <w:ind w:left="1134" w:right="1134"/>
        <w:jc w:val="center"/>
      </w:pPr>
      <w:bookmarkStart w:id="5" w:name="r6"/>
      <w:bookmarkEnd w:id="5"/>
      <w:r>
        <w:rPr>
          <w:rFonts w:ascii="Arial" w:hAnsi="Arial" w:cs="Arial"/>
          <w:b/>
          <w:bCs/>
        </w:rPr>
        <w:t>6. Меры политики</w:t>
      </w:r>
    </w:p>
    <w:p w14:paraId="550E1C65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Меры политики в Программе направлены на обеспечение стабильного функционирования системы образования согласно следующей структуре системы образования в Кыргызской Республике.</w:t>
      </w:r>
    </w:p>
    <w:p w14:paraId="19643426" w14:textId="77777777" w:rsidR="00B365EC" w:rsidRDefault="00B365EC">
      <w:pPr>
        <w:spacing w:after="60" w:line="276" w:lineRule="auto"/>
        <w:ind w:firstLine="567"/>
        <w:jc w:val="both"/>
      </w:pPr>
      <w:r>
        <w:t> </w:t>
      </w:r>
    </w:p>
    <w:p w14:paraId="34314709" w14:textId="77777777" w:rsidR="00B365EC" w:rsidRDefault="00B365EC">
      <w:pPr>
        <w:spacing w:after="60" w:line="276" w:lineRule="auto"/>
        <w:ind w:firstLine="567"/>
        <w:jc w:val="right"/>
      </w:pPr>
      <w:r>
        <w:rPr>
          <w:rFonts w:ascii="Arial" w:hAnsi="Arial" w:cs="Arial"/>
        </w:rPr>
        <w:t>Рисунок 1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3"/>
        <w:gridCol w:w="786"/>
        <w:gridCol w:w="630"/>
        <w:gridCol w:w="1131"/>
        <w:gridCol w:w="583"/>
        <w:gridCol w:w="254"/>
        <w:gridCol w:w="1044"/>
        <w:gridCol w:w="622"/>
        <w:gridCol w:w="672"/>
        <w:gridCol w:w="569"/>
        <w:gridCol w:w="1773"/>
        <w:gridCol w:w="48"/>
      </w:tblGrid>
      <w:tr w:rsidR="008D3447" w14:paraId="37C224B2" w14:textId="77777777">
        <w:tc>
          <w:tcPr>
            <w:tcW w:w="6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EE4B5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Образование взрослых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8D5AF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Возраст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83EC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Класс</w:t>
            </w:r>
          </w:p>
        </w:tc>
        <w:tc>
          <w:tcPr>
            <w:tcW w:w="1466" w:type="pct"/>
            <w:gridSpan w:val="4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3DD68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Послевузовское профессиональное образование</w:t>
            </w:r>
            <w:r>
              <w:rPr>
                <w:rFonts w:ascii="Arial" w:hAnsi="Arial" w:cs="Arial"/>
              </w:rPr>
              <w:br/>
              <w:t>(соискательство, аспирантура, адъюнктура и докторантура, PhD)</w:t>
            </w:r>
          </w:p>
        </w:tc>
        <w:tc>
          <w:tcPr>
            <w:tcW w:w="2173" w:type="pct"/>
            <w:gridSpan w:val="4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1D577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Дополнительное профессиональное образование</w:t>
            </w:r>
            <w:r>
              <w:rPr>
                <w:rFonts w:ascii="Arial" w:hAnsi="Arial" w:cs="Arial"/>
              </w:rPr>
              <w:br/>
              <w:t>(для лиц, имеющих профобразование), на основе принципов обучения на протяжении всей жизни</w:t>
            </w:r>
          </w:p>
        </w:tc>
        <w:tc>
          <w:tcPr>
            <w:tcW w:w="15" w:type="pct"/>
            <w:vAlign w:val="center"/>
            <w:hideMark/>
          </w:tcPr>
          <w:p w14:paraId="56272BA4" w14:textId="77777777" w:rsidR="00B365EC" w:rsidRDefault="00B365EC">
            <w:pPr>
              <w:spacing w:after="200" w:line="276" w:lineRule="auto"/>
            </w:pPr>
            <w:r>
              <w:t> </w:t>
            </w:r>
          </w:p>
        </w:tc>
      </w:tr>
      <w:tr w:rsidR="008D3447" w14:paraId="154D7C2A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68CA5" w14:textId="77777777" w:rsidR="00B365EC" w:rsidRDefault="00B365EC"/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E5076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26 и старше</w:t>
            </w:r>
          </w:p>
        </w:tc>
        <w:tc>
          <w:tcPr>
            <w:tcW w:w="31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19362" w14:textId="77777777" w:rsidR="00B365EC" w:rsidRDefault="00B365EC">
            <w:pPr>
              <w:spacing w:after="60" w:line="276" w:lineRule="auto"/>
              <w:jc w:val="center"/>
            </w:pPr>
            <w:r>
              <w:t> 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30129B" w14:textId="77777777" w:rsidR="00B365EC" w:rsidRDefault="00B365EC"/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46B5D3" w14:textId="77777777" w:rsidR="00B365EC" w:rsidRDefault="00B365EC"/>
        </w:tc>
        <w:tc>
          <w:tcPr>
            <w:tcW w:w="15" w:type="pct"/>
            <w:vAlign w:val="center"/>
            <w:hideMark/>
          </w:tcPr>
          <w:p w14:paraId="45BA409C" w14:textId="77777777" w:rsidR="00B365EC" w:rsidRDefault="00B365EC">
            <w:pPr>
              <w:spacing w:after="200" w:line="276" w:lineRule="auto"/>
            </w:pPr>
            <w:r>
              <w:t> </w:t>
            </w:r>
          </w:p>
        </w:tc>
      </w:tr>
      <w:tr w:rsidR="008D3447" w14:paraId="31F28376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A1026A" w14:textId="77777777" w:rsidR="00B365EC" w:rsidRDefault="00B365EC"/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68E53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EEDC9F" w14:textId="77777777" w:rsidR="00B365EC" w:rsidRDefault="00B365EC"/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928AC4" w14:textId="77777777" w:rsidR="00B365EC" w:rsidRDefault="00B365EC"/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E25439" w14:textId="77777777" w:rsidR="00B365EC" w:rsidRDefault="00B365EC"/>
        </w:tc>
        <w:tc>
          <w:tcPr>
            <w:tcW w:w="15" w:type="pct"/>
            <w:vAlign w:val="center"/>
            <w:hideMark/>
          </w:tcPr>
          <w:p w14:paraId="51C5F270" w14:textId="77777777" w:rsidR="00B365EC" w:rsidRDefault="00B365EC">
            <w:pPr>
              <w:spacing w:after="200" w:line="276" w:lineRule="auto"/>
            </w:pPr>
            <w:r>
              <w:t> </w:t>
            </w:r>
          </w:p>
        </w:tc>
      </w:tr>
      <w:tr w:rsidR="008D3447" w14:paraId="3796F1FD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AA185D" w14:textId="77777777" w:rsidR="00B365EC" w:rsidRDefault="00B365EC"/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58119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E689B3" w14:textId="77777777" w:rsidR="00B365EC" w:rsidRDefault="00B365EC"/>
        </w:tc>
        <w:tc>
          <w:tcPr>
            <w:tcW w:w="1466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D8E57" w14:textId="77777777" w:rsidR="00B365EC" w:rsidRDefault="00B365EC">
            <w:pPr>
              <w:spacing w:after="60" w:line="276" w:lineRule="auto"/>
            </w:pPr>
            <w:r>
              <w:t> 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8A722D" w14:textId="77777777" w:rsidR="00B365EC" w:rsidRDefault="00B365EC"/>
        </w:tc>
        <w:tc>
          <w:tcPr>
            <w:tcW w:w="15" w:type="pct"/>
            <w:vAlign w:val="center"/>
            <w:hideMark/>
          </w:tcPr>
          <w:p w14:paraId="764B08A1" w14:textId="77777777" w:rsidR="00B365EC" w:rsidRDefault="00B365EC">
            <w:pPr>
              <w:spacing w:after="200" w:line="276" w:lineRule="auto"/>
            </w:pPr>
            <w:r>
              <w:t> </w:t>
            </w:r>
          </w:p>
        </w:tc>
      </w:tr>
      <w:tr w:rsidR="008D3447" w14:paraId="57C85CF1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CE4729" w14:textId="77777777" w:rsidR="00B365EC" w:rsidRDefault="00B365EC"/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CB7F9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7AC19E" w14:textId="77777777" w:rsidR="00B365EC" w:rsidRDefault="00B365EC"/>
        </w:tc>
        <w:tc>
          <w:tcPr>
            <w:tcW w:w="855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2B565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Высшее профессиональное образование</w:t>
            </w:r>
            <w:r>
              <w:rPr>
                <w:rFonts w:ascii="Arial" w:hAnsi="Arial" w:cs="Arial"/>
              </w:rPr>
              <w:br/>
              <w:t>(магистратура)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5CC37" w14:textId="77777777" w:rsidR="00B365EC" w:rsidRDefault="00B365EC">
            <w:pPr>
              <w:spacing w:after="60" w:line="276" w:lineRule="auto"/>
            </w:pPr>
            <w:r>
              <w:t> 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842CE" w14:textId="77777777" w:rsidR="00B365EC" w:rsidRDefault="00B365EC">
            <w:pPr>
              <w:spacing w:after="60" w:line="276" w:lineRule="auto"/>
            </w:pPr>
            <w:r>
              <w:t> </w:t>
            </w:r>
          </w:p>
        </w:tc>
        <w:tc>
          <w:tcPr>
            <w:tcW w:w="1880" w:type="pct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7B718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Неформальное образование взрослых</w:t>
            </w:r>
            <w:r>
              <w:rPr>
                <w:rFonts w:ascii="Arial" w:hAnsi="Arial" w:cs="Arial"/>
              </w:rPr>
              <w:br/>
              <w:t>(в целях самосовершенствования)</w:t>
            </w:r>
          </w:p>
          <w:p w14:paraId="603800E3" w14:textId="77777777" w:rsidR="00B365EC" w:rsidRDefault="00B365EC">
            <w:pPr>
              <w:spacing w:after="60" w:line="276" w:lineRule="auto"/>
            </w:pPr>
            <w:r>
              <w:t> </w:t>
            </w:r>
          </w:p>
        </w:tc>
        <w:tc>
          <w:tcPr>
            <w:tcW w:w="15" w:type="pct"/>
            <w:vAlign w:val="center"/>
            <w:hideMark/>
          </w:tcPr>
          <w:p w14:paraId="5F86F741" w14:textId="77777777" w:rsidR="00B365EC" w:rsidRDefault="00B365EC">
            <w:pPr>
              <w:spacing w:after="200" w:line="276" w:lineRule="auto"/>
            </w:pPr>
            <w:r>
              <w:t> </w:t>
            </w:r>
          </w:p>
        </w:tc>
      </w:tr>
      <w:tr w:rsidR="008D3447" w14:paraId="54ABEA47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A26BB5" w14:textId="77777777" w:rsidR="00B365EC" w:rsidRDefault="00B365EC"/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AD6A5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95441" w14:textId="77777777" w:rsidR="00B365EC" w:rsidRDefault="00B365EC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C82130F" w14:textId="77777777" w:rsidR="00B365EC" w:rsidRDefault="00B365EC"/>
        </w:tc>
        <w:tc>
          <w:tcPr>
            <w:tcW w:w="9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2114C" w14:textId="77777777" w:rsidR="00B365EC" w:rsidRDefault="00B365EC">
            <w:pPr>
              <w:spacing w:after="60" w:line="276" w:lineRule="auto"/>
            </w:pPr>
            <w:r>
              <w:t> </w:t>
            </w:r>
          </w:p>
        </w:tc>
        <w:tc>
          <w:tcPr>
            <w:tcW w:w="814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E6B5A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Высшее профессиональное образование (бакалавриат, специалитет - для определенных специальностей)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690DE6" w14:textId="77777777" w:rsidR="00B365EC" w:rsidRDefault="00B365EC"/>
        </w:tc>
        <w:tc>
          <w:tcPr>
            <w:tcW w:w="15" w:type="pct"/>
            <w:vAlign w:val="center"/>
            <w:hideMark/>
          </w:tcPr>
          <w:p w14:paraId="0E46FEDC" w14:textId="77777777" w:rsidR="00B365EC" w:rsidRDefault="00B365EC">
            <w:pPr>
              <w:spacing w:after="200" w:line="276" w:lineRule="auto"/>
            </w:pPr>
            <w:r>
              <w:t> </w:t>
            </w:r>
          </w:p>
        </w:tc>
      </w:tr>
      <w:tr w:rsidR="008D3447" w14:paraId="391F2539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479403" w14:textId="77777777" w:rsidR="00B365EC" w:rsidRDefault="00B365EC"/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61858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E0DF54" w14:textId="77777777" w:rsidR="00B365EC" w:rsidRDefault="00B365EC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8E480FD" w14:textId="77777777" w:rsidR="00B365EC" w:rsidRDefault="00B365EC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356432" w14:textId="77777777" w:rsidR="00B365EC" w:rsidRDefault="00B365EC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51966D" w14:textId="77777777" w:rsidR="00B365EC" w:rsidRDefault="00B365EC"/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049949" w14:textId="77777777" w:rsidR="00B365EC" w:rsidRDefault="00B365EC"/>
        </w:tc>
        <w:tc>
          <w:tcPr>
            <w:tcW w:w="15" w:type="pct"/>
            <w:vAlign w:val="center"/>
            <w:hideMark/>
          </w:tcPr>
          <w:p w14:paraId="04793627" w14:textId="77777777" w:rsidR="00B365EC" w:rsidRDefault="00B365EC">
            <w:pPr>
              <w:spacing w:after="200" w:line="276" w:lineRule="auto"/>
            </w:pPr>
            <w:r>
              <w:t> </w:t>
            </w:r>
          </w:p>
        </w:tc>
      </w:tr>
      <w:tr w:rsidR="008D3447" w14:paraId="0BDA7ACD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E3D83D" w14:textId="77777777" w:rsidR="00B365EC" w:rsidRDefault="00B365EC"/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BA8E1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BA7803" w14:textId="77777777" w:rsidR="00B365EC" w:rsidRDefault="00B365EC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49ACE60" w14:textId="77777777" w:rsidR="00B365EC" w:rsidRDefault="00B365EC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C1710" w14:textId="77777777" w:rsidR="00B365EC" w:rsidRDefault="00B365EC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3D80A6" w14:textId="77777777" w:rsidR="00B365EC" w:rsidRDefault="00B365EC"/>
        </w:tc>
        <w:tc>
          <w:tcPr>
            <w:tcW w:w="1880" w:type="pct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D5738" w14:textId="77777777" w:rsidR="00B365EC" w:rsidRDefault="00B365EC">
            <w:pPr>
              <w:spacing w:after="60" w:line="276" w:lineRule="auto"/>
            </w:pPr>
            <w:r>
              <w:t> </w:t>
            </w:r>
          </w:p>
        </w:tc>
        <w:tc>
          <w:tcPr>
            <w:tcW w:w="15" w:type="pct"/>
            <w:vAlign w:val="center"/>
            <w:hideMark/>
          </w:tcPr>
          <w:p w14:paraId="0E87D3F1" w14:textId="77777777" w:rsidR="00B365EC" w:rsidRDefault="00B365EC">
            <w:pPr>
              <w:spacing w:after="200" w:line="276" w:lineRule="auto"/>
            </w:pPr>
            <w:r>
              <w:t> </w:t>
            </w:r>
          </w:p>
        </w:tc>
      </w:tr>
      <w:tr w:rsidR="008D3447" w14:paraId="1A60A5B0" w14:textId="77777777">
        <w:trPr>
          <w:trHeight w:val="32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A5D16E" w14:textId="77777777" w:rsidR="00B365EC" w:rsidRDefault="00B365EC"/>
        </w:tc>
        <w:tc>
          <w:tcPr>
            <w:tcW w:w="39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04354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3A33C" w14:textId="77777777" w:rsidR="00B365EC" w:rsidRDefault="00B365EC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59A3E11" w14:textId="77777777" w:rsidR="00B365EC" w:rsidRDefault="00B365EC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4BE307" w14:textId="77777777" w:rsidR="00B365EC" w:rsidRDefault="00B365EC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5136A6" w14:textId="77777777" w:rsidR="00B365EC" w:rsidRDefault="00B365EC"/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AA2D23" w14:textId="77777777" w:rsidR="00B365EC" w:rsidRDefault="00B365EC"/>
        </w:tc>
        <w:tc>
          <w:tcPr>
            <w:tcW w:w="15" w:type="pct"/>
            <w:vAlign w:val="center"/>
            <w:hideMark/>
          </w:tcPr>
          <w:p w14:paraId="50925F58" w14:textId="77777777" w:rsidR="00B365EC" w:rsidRDefault="00B365EC"/>
        </w:tc>
      </w:tr>
      <w:tr w:rsidR="008D3447" w14:paraId="23102B97" w14:textId="77777777">
        <w:trPr>
          <w:trHeight w:val="32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C107F0" w14:textId="77777777" w:rsidR="00B365EC" w:rsidRDefault="00B365EC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5A4219" w14:textId="77777777" w:rsidR="00B365EC" w:rsidRDefault="00B365EC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A6B6F6" w14:textId="77777777" w:rsidR="00B365EC" w:rsidRDefault="00B365EC"/>
        </w:tc>
        <w:tc>
          <w:tcPr>
            <w:tcW w:w="855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5DB34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Профессиональное образование на базе 9 и 11 классов</w:t>
            </w:r>
          </w:p>
        </w:tc>
        <w:tc>
          <w:tcPr>
            <w:tcW w:w="9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71994" w14:textId="77777777" w:rsidR="00B365EC" w:rsidRDefault="00B365EC">
            <w:pPr>
              <w:spacing w:after="60" w:line="276" w:lineRule="auto"/>
            </w:pPr>
            <w: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1D2BBD" w14:textId="77777777" w:rsidR="00B365EC" w:rsidRDefault="00B365EC"/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23DDDC" w14:textId="77777777" w:rsidR="00B365EC" w:rsidRDefault="00B365EC"/>
        </w:tc>
        <w:tc>
          <w:tcPr>
            <w:tcW w:w="15" w:type="pct"/>
            <w:vAlign w:val="center"/>
            <w:hideMark/>
          </w:tcPr>
          <w:p w14:paraId="1902FF7D" w14:textId="77777777" w:rsidR="00B365EC" w:rsidRDefault="00B365EC"/>
        </w:tc>
      </w:tr>
      <w:tr w:rsidR="008D3447" w14:paraId="1D15CF95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64F6C7" w14:textId="77777777" w:rsidR="00B365EC" w:rsidRDefault="00B365EC"/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C0F9A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CF6295" w14:textId="77777777" w:rsidR="00B365EC" w:rsidRDefault="00B365EC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05CD97" w14:textId="77777777" w:rsidR="00B365EC" w:rsidRDefault="00B365EC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ACDD10" w14:textId="77777777" w:rsidR="00B365EC" w:rsidRDefault="00B365EC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A9AC65" w14:textId="77777777" w:rsidR="00B365EC" w:rsidRDefault="00B365EC"/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4762A8" w14:textId="77777777" w:rsidR="00B365EC" w:rsidRDefault="00B365EC"/>
        </w:tc>
        <w:tc>
          <w:tcPr>
            <w:tcW w:w="15" w:type="pct"/>
            <w:vAlign w:val="center"/>
            <w:hideMark/>
          </w:tcPr>
          <w:p w14:paraId="63A070D7" w14:textId="77777777" w:rsidR="00B365EC" w:rsidRDefault="00B365EC">
            <w:pPr>
              <w:spacing w:after="200" w:line="276" w:lineRule="auto"/>
            </w:pPr>
            <w:r>
              <w:t> </w:t>
            </w:r>
          </w:p>
        </w:tc>
      </w:tr>
      <w:tr w:rsidR="008D3447" w14:paraId="0222661C" w14:textId="77777777">
        <w:tc>
          <w:tcPr>
            <w:tcW w:w="63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95B0C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Обязательное образование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6C5FC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61A3A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B9206D" w14:textId="77777777" w:rsidR="00B365EC" w:rsidRDefault="00B365EC"/>
        </w:tc>
        <w:tc>
          <w:tcPr>
            <w:tcW w:w="904" w:type="pct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1DCB18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Среднее общее образование</w:t>
            </w:r>
          </w:p>
        </w:tc>
        <w:tc>
          <w:tcPr>
            <w:tcW w:w="967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514DC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Вечерние школы</w:t>
            </w:r>
            <w:r>
              <w:rPr>
                <w:rFonts w:ascii="Arial" w:hAnsi="Arial" w:cs="Arial"/>
              </w:rPr>
              <w:br/>
              <w:t>(без возрастных ограничений)</w:t>
            </w:r>
          </w:p>
        </w:tc>
        <w:tc>
          <w:tcPr>
            <w:tcW w:w="91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E1E27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Специализированные школы для детей с ограниченными возможностями здоровья</w:t>
            </w:r>
          </w:p>
        </w:tc>
        <w:tc>
          <w:tcPr>
            <w:tcW w:w="15" w:type="pct"/>
            <w:vAlign w:val="center"/>
            <w:hideMark/>
          </w:tcPr>
          <w:p w14:paraId="24D7B408" w14:textId="77777777" w:rsidR="00B365EC" w:rsidRDefault="00B365EC">
            <w:pPr>
              <w:spacing w:after="200" w:line="276" w:lineRule="auto"/>
            </w:pPr>
            <w:r>
              <w:t> </w:t>
            </w:r>
          </w:p>
        </w:tc>
      </w:tr>
      <w:tr w:rsidR="008D3447" w14:paraId="53991E20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B3F36B" w14:textId="77777777" w:rsidR="00B365EC" w:rsidRDefault="00B365EC"/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E595F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7418A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6A3587" w14:textId="77777777" w:rsidR="00B365EC" w:rsidRDefault="00B365EC"/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94798C" w14:textId="77777777" w:rsidR="00B365EC" w:rsidRDefault="00B365EC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07D34A" w14:textId="77777777" w:rsidR="00B365EC" w:rsidRDefault="00B365EC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419925" w14:textId="77777777" w:rsidR="00B365EC" w:rsidRDefault="00B365EC"/>
        </w:tc>
        <w:tc>
          <w:tcPr>
            <w:tcW w:w="15" w:type="pct"/>
            <w:vAlign w:val="center"/>
            <w:hideMark/>
          </w:tcPr>
          <w:p w14:paraId="659D036B" w14:textId="77777777" w:rsidR="00B365EC" w:rsidRDefault="00B365EC">
            <w:pPr>
              <w:spacing w:after="200" w:line="276" w:lineRule="auto"/>
            </w:pPr>
            <w:r>
              <w:t> </w:t>
            </w:r>
          </w:p>
        </w:tc>
      </w:tr>
      <w:tr w:rsidR="008D3447" w14:paraId="2E968181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258DF0" w14:textId="77777777" w:rsidR="00B365EC" w:rsidRDefault="00B365EC"/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301A3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28EB4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759" w:type="pct"/>
            <w:gridSpan w:val="5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9439E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Основное общее образование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33CF06" w14:textId="77777777" w:rsidR="00B365EC" w:rsidRDefault="00B365EC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9A1617" w14:textId="77777777" w:rsidR="00B365EC" w:rsidRDefault="00B365EC"/>
        </w:tc>
        <w:tc>
          <w:tcPr>
            <w:tcW w:w="15" w:type="pct"/>
            <w:vAlign w:val="center"/>
            <w:hideMark/>
          </w:tcPr>
          <w:p w14:paraId="6B4E1C09" w14:textId="77777777" w:rsidR="00B365EC" w:rsidRDefault="00B365EC">
            <w:pPr>
              <w:spacing w:after="200" w:line="276" w:lineRule="auto"/>
            </w:pPr>
            <w:r>
              <w:t> </w:t>
            </w:r>
          </w:p>
        </w:tc>
      </w:tr>
      <w:tr w:rsidR="008D3447" w14:paraId="54479415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F2EBA2" w14:textId="77777777" w:rsidR="00B365EC" w:rsidRDefault="00B365EC"/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6816A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F9800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D6FF55" w14:textId="77777777" w:rsidR="00B365EC" w:rsidRDefault="00B365EC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0E36B9" w14:textId="77777777" w:rsidR="00B365EC" w:rsidRDefault="00B365EC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561EB0" w14:textId="77777777" w:rsidR="00B365EC" w:rsidRDefault="00B365EC"/>
        </w:tc>
        <w:tc>
          <w:tcPr>
            <w:tcW w:w="15" w:type="pct"/>
            <w:vAlign w:val="center"/>
            <w:hideMark/>
          </w:tcPr>
          <w:p w14:paraId="28E42AB8" w14:textId="77777777" w:rsidR="00B365EC" w:rsidRDefault="00B365EC">
            <w:pPr>
              <w:spacing w:after="200" w:line="276" w:lineRule="auto"/>
            </w:pPr>
            <w:r>
              <w:t> </w:t>
            </w:r>
          </w:p>
        </w:tc>
      </w:tr>
      <w:tr w:rsidR="008D3447" w14:paraId="0D879E42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08CF28" w14:textId="77777777" w:rsidR="00B365EC" w:rsidRDefault="00B365EC"/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01017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6250A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77AC94" w14:textId="77777777" w:rsidR="00B365EC" w:rsidRDefault="00B365EC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24693B" w14:textId="77777777" w:rsidR="00B365EC" w:rsidRDefault="00B365EC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E5D081" w14:textId="77777777" w:rsidR="00B365EC" w:rsidRDefault="00B365EC"/>
        </w:tc>
        <w:tc>
          <w:tcPr>
            <w:tcW w:w="15" w:type="pct"/>
            <w:vAlign w:val="center"/>
            <w:hideMark/>
          </w:tcPr>
          <w:p w14:paraId="2A7CB710" w14:textId="77777777" w:rsidR="00B365EC" w:rsidRDefault="00B365EC">
            <w:pPr>
              <w:spacing w:after="200" w:line="276" w:lineRule="auto"/>
            </w:pPr>
            <w:r>
              <w:t> </w:t>
            </w:r>
          </w:p>
        </w:tc>
      </w:tr>
      <w:tr w:rsidR="008D3447" w14:paraId="0B5801A6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CEFB5B" w14:textId="77777777" w:rsidR="00B365EC" w:rsidRDefault="00B365EC"/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DA06E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09C03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7E0943" w14:textId="77777777" w:rsidR="00B365EC" w:rsidRDefault="00B365EC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363804" w14:textId="77777777" w:rsidR="00B365EC" w:rsidRDefault="00B365EC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FC1C8" w14:textId="77777777" w:rsidR="00B365EC" w:rsidRDefault="00B365EC"/>
        </w:tc>
        <w:tc>
          <w:tcPr>
            <w:tcW w:w="15" w:type="pct"/>
            <w:vAlign w:val="center"/>
            <w:hideMark/>
          </w:tcPr>
          <w:p w14:paraId="3C89BE58" w14:textId="77777777" w:rsidR="00B365EC" w:rsidRDefault="00B365EC">
            <w:pPr>
              <w:spacing w:after="200" w:line="276" w:lineRule="auto"/>
            </w:pPr>
            <w:r>
              <w:t> </w:t>
            </w:r>
          </w:p>
        </w:tc>
      </w:tr>
      <w:tr w:rsidR="008D3447" w14:paraId="7124B5D1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440250" w14:textId="77777777" w:rsidR="00B365EC" w:rsidRDefault="00B365EC"/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99C11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50C52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367EF4" w14:textId="77777777" w:rsidR="00B365EC" w:rsidRDefault="00B365EC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B13652" w14:textId="77777777" w:rsidR="00B365EC" w:rsidRDefault="00B365EC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7DE645" w14:textId="77777777" w:rsidR="00B365EC" w:rsidRDefault="00B365EC"/>
        </w:tc>
        <w:tc>
          <w:tcPr>
            <w:tcW w:w="15" w:type="pct"/>
            <w:vAlign w:val="center"/>
            <w:hideMark/>
          </w:tcPr>
          <w:p w14:paraId="18F7AFEC" w14:textId="77777777" w:rsidR="00B365EC" w:rsidRDefault="00B365EC">
            <w:pPr>
              <w:spacing w:after="200" w:line="276" w:lineRule="auto"/>
            </w:pPr>
            <w:r>
              <w:t> </w:t>
            </w:r>
          </w:p>
        </w:tc>
      </w:tr>
      <w:tr w:rsidR="008D3447" w14:paraId="565220CF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FFEE6" w14:textId="77777777" w:rsidR="00B365EC" w:rsidRDefault="00B365EC"/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28DA8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1202E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288" w:type="pct"/>
            <w:gridSpan w:val="6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C3663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Начальное общее образование</w:t>
            </w:r>
          </w:p>
        </w:tc>
        <w:tc>
          <w:tcPr>
            <w:tcW w:w="43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F5E36" w14:textId="77777777" w:rsidR="00B365EC" w:rsidRDefault="00B365EC">
            <w:pPr>
              <w:spacing w:after="60" w:line="276" w:lineRule="auto"/>
            </w:pPr>
            <w: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8E2D56" w14:textId="77777777" w:rsidR="00B365EC" w:rsidRDefault="00B365EC"/>
        </w:tc>
        <w:tc>
          <w:tcPr>
            <w:tcW w:w="15" w:type="pct"/>
            <w:vAlign w:val="center"/>
            <w:hideMark/>
          </w:tcPr>
          <w:p w14:paraId="616E0F69" w14:textId="77777777" w:rsidR="00B365EC" w:rsidRDefault="00B365EC">
            <w:pPr>
              <w:spacing w:after="200" w:line="276" w:lineRule="auto"/>
            </w:pPr>
            <w:r>
              <w:t> </w:t>
            </w:r>
          </w:p>
        </w:tc>
      </w:tr>
      <w:tr w:rsidR="008D3447" w14:paraId="5984CED2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C19418" w14:textId="77777777" w:rsidR="00B365EC" w:rsidRDefault="00B365EC"/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B2FF7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BE900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368FC7" w14:textId="77777777" w:rsidR="00B365EC" w:rsidRDefault="00B365EC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3672A1" w14:textId="77777777" w:rsidR="00B365EC" w:rsidRDefault="00B365EC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D839D8" w14:textId="77777777" w:rsidR="00B365EC" w:rsidRDefault="00B365EC"/>
        </w:tc>
        <w:tc>
          <w:tcPr>
            <w:tcW w:w="15" w:type="pct"/>
            <w:vAlign w:val="center"/>
            <w:hideMark/>
          </w:tcPr>
          <w:p w14:paraId="452FE584" w14:textId="77777777" w:rsidR="00B365EC" w:rsidRDefault="00B365EC">
            <w:pPr>
              <w:spacing w:after="200" w:line="276" w:lineRule="auto"/>
            </w:pPr>
            <w:r>
              <w:t> </w:t>
            </w:r>
          </w:p>
        </w:tc>
      </w:tr>
      <w:tr w:rsidR="008D3447" w14:paraId="255EAB37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F2E45" w14:textId="77777777" w:rsidR="00B365EC" w:rsidRDefault="00B365EC"/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F010F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856D1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277CE0" w14:textId="77777777" w:rsidR="00B365EC" w:rsidRDefault="00B365EC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E550D" w14:textId="77777777" w:rsidR="00B365EC" w:rsidRDefault="00B365EC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4185A1" w14:textId="77777777" w:rsidR="00B365EC" w:rsidRDefault="00B365EC"/>
        </w:tc>
        <w:tc>
          <w:tcPr>
            <w:tcW w:w="15" w:type="pct"/>
            <w:vAlign w:val="center"/>
            <w:hideMark/>
          </w:tcPr>
          <w:p w14:paraId="69B023EA" w14:textId="77777777" w:rsidR="00B365EC" w:rsidRDefault="00B365EC">
            <w:pPr>
              <w:spacing w:after="200" w:line="276" w:lineRule="auto"/>
            </w:pPr>
            <w:r>
              <w:t> </w:t>
            </w:r>
          </w:p>
        </w:tc>
      </w:tr>
      <w:tr w:rsidR="008D3447" w14:paraId="26314485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DB2357" w14:textId="77777777" w:rsidR="00B365EC" w:rsidRDefault="00B365EC"/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78995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61630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DDE8FB" w14:textId="77777777" w:rsidR="00B365EC" w:rsidRDefault="00B365EC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3FD234" w14:textId="77777777" w:rsidR="00B365EC" w:rsidRDefault="00B365EC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6FF9D1" w14:textId="77777777" w:rsidR="00B365EC" w:rsidRDefault="00B365EC"/>
        </w:tc>
        <w:tc>
          <w:tcPr>
            <w:tcW w:w="15" w:type="pct"/>
            <w:vAlign w:val="center"/>
            <w:hideMark/>
          </w:tcPr>
          <w:p w14:paraId="72CFBA76" w14:textId="77777777" w:rsidR="00B365EC" w:rsidRDefault="00B365EC">
            <w:pPr>
              <w:spacing w:after="200" w:line="276" w:lineRule="auto"/>
            </w:pPr>
            <w:r>
              <w:t> </w:t>
            </w:r>
          </w:p>
        </w:tc>
      </w:tr>
      <w:tr w:rsidR="008D3447" w14:paraId="37F24E01" w14:textId="77777777">
        <w:tc>
          <w:tcPr>
            <w:tcW w:w="63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E5B56" w14:textId="77777777" w:rsidR="00B365EC" w:rsidRDefault="00B365EC">
            <w:pPr>
              <w:spacing w:after="60" w:line="276" w:lineRule="auto"/>
            </w:pPr>
            <w: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2D4D9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C642C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6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BAF92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719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FB47BC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Предшкольная подготовка для детей, не посещающих дошкольные образовательные организации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FBCD03" w14:textId="77777777" w:rsidR="00B365EC" w:rsidRDefault="00B365EC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F4E481" w14:textId="77777777" w:rsidR="00B365EC" w:rsidRDefault="00B365EC"/>
        </w:tc>
        <w:tc>
          <w:tcPr>
            <w:tcW w:w="15" w:type="pct"/>
            <w:vAlign w:val="center"/>
            <w:hideMark/>
          </w:tcPr>
          <w:p w14:paraId="7AEED871" w14:textId="77777777" w:rsidR="00B365EC" w:rsidRDefault="00B365EC">
            <w:pPr>
              <w:spacing w:after="200" w:line="276" w:lineRule="auto"/>
            </w:pPr>
            <w:r>
              <w:t> </w:t>
            </w:r>
          </w:p>
        </w:tc>
      </w:tr>
      <w:tr w:rsidR="008D3447" w14:paraId="6EB691F5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A74604" w14:textId="77777777" w:rsidR="00B365EC" w:rsidRDefault="00B365EC"/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5F67F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E4751" w14:textId="77777777" w:rsidR="00B365EC" w:rsidRDefault="00B365EC">
            <w:pPr>
              <w:spacing w:after="60" w:line="276" w:lineRule="auto"/>
              <w:jc w:val="center"/>
            </w:pPr>
            <w: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42DED2" w14:textId="77777777" w:rsidR="00B365EC" w:rsidRDefault="00B365EC"/>
        </w:tc>
        <w:tc>
          <w:tcPr>
            <w:tcW w:w="3070" w:type="pct"/>
            <w:gridSpan w:val="7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AE373" w14:textId="77777777" w:rsidR="00B365EC" w:rsidRDefault="00B365EC">
            <w:pPr>
              <w:spacing w:after="60" w:line="276" w:lineRule="auto"/>
            </w:pPr>
            <w:r>
              <w:t> </w:t>
            </w:r>
          </w:p>
        </w:tc>
        <w:tc>
          <w:tcPr>
            <w:tcW w:w="15" w:type="pct"/>
            <w:vAlign w:val="center"/>
            <w:hideMark/>
          </w:tcPr>
          <w:p w14:paraId="11A47F5B" w14:textId="77777777" w:rsidR="00B365EC" w:rsidRDefault="00B365EC">
            <w:pPr>
              <w:spacing w:after="200" w:line="276" w:lineRule="auto"/>
            </w:pPr>
            <w:r>
              <w:t> </w:t>
            </w:r>
          </w:p>
        </w:tc>
      </w:tr>
      <w:tr w:rsidR="008D3447" w14:paraId="108078F3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0A6447" w14:textId="77777777" w:rsidR="00B365EC" w:rsidRDefault="00B365EC"/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5F6CC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9C574" w14:textId="77777777" w:rsidR="00B365EC" w:rsidRDefault="00B365EC">
            <w:pPr>
              <w:spacing w:after="60" w:line="276" w:lineRule="auto"/>
              <w:jc w:val="center"/>
            </w:pPr>
            <w: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A8C8B6" w14:textId="77777777" w:rsidR="00B365EC" w:rsidRDefault="00B365EC"/>
        </w:tc>
        <w:tc>
          <w:tcPr>
            <w:tcW w:w="0" w:type="auto"/>
            <w:gridSpan w:val="7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8B23A" w14:textId="77777777" w:rsidR="00B365EC" w:rsidRDefault="00B365EC"/>
        </w:tc>
        <w:tc>
          <w:tcPr>
            <w:tcW w:w="15" w:type="pct"/>
            <w:vAlign w:val="center"/>
            <w:hideMark/>
          </w:tcPr>
          <w:p w14:paraId="4E4A392E" w14:textId="77777777" w:rsidR="00B365EC" w:rsidRDefault="00B365EC">
            <w:pPr>
              <w:spacing w:after="200" w:line="276" w:lineRule="auto"/>
            </w:pPr>
            <w:r>
              <w:t> </w:t>
            </w:r>
          </w:p>
        </w:tc>
      </w:tr>
      <w:tr w:rsidR="008D3447" w14:paraId="500ACD6F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ACB096" w14:textId="77777777" w:rsidR="00B365EC" w:rsidRDefault="00B365EC"/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F27B6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333F4" w14:textId="77777777" w:rsidR="00B365EC" w:rsidRDefault="00B365EC">
            <w:pPr>
              <w:spacing w:after="60" w:line="276" w:lineRule="auto"/>
              <w:jc w:val="center"/>
            </w:pPr>
            <w: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0CF262" w14:textId="77777777" w:rsidR="00B365EC" w:rsidRDefault="00B365EC"/>
        </w:tc>
        <w:tc>
          <w:tcPr>
            <w:tcW w:w="0" w:type="auto"/>
            <w:gridSpan w:val="7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B4BCE" w14:textId="77777777" w:rsidR="00B365EC" w:rsidRDefault="00B365EC"/>
        </w:tc>
        <w:tc>
          <w:tcPr>
            <w:tcW w:w="15" w:type="pct"/>
            <w:vAlign w:val="center"/>
            <w:hideMark/>
          </w:tcPr>
          <w:p w14:paraId="2857EC23" w14:textId="77777777" w:rsidR="00B365EC" w:rsidRDefault="00B365EC">
            <w:pPr>
              <w:spacing w:after="200" w:line="276" w:lineRule="auto"/>
            </w:pPr>
            <w:r>
              <w:t> </w:t>
            </w:r>
          </w:p>
        </w:tc>
      </w:tr>
      <w:tr w:rsidR="008D3447" w14:paraId="6C9A435B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78098B" w14:textId="77777777" w:rsidR="00B365EC" w:rsidRDefault="00B365EC"/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2FAC1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A8F1B" w14:textId="77777777" w:rsidR="00B365EC" w:rsidRDefault="00B365EC">
            <w:pPr>
              <w:spacing w:after="60" w:line="276" w:lineRule="auto"/>
              <w:jc w:val="center"/>
            </w:pPr>
            <w: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10C94" w14:textId="77777777" w:rsidR="00B365EC" w:rsidRDefault="00B365EC"/>
        </w:tc>
        <w:tc>
          <w:tcPr>
            <w:tcW w:w="0" w:type="auto"/>
            <w:gridSpan w:val="7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0C305B" w14:textId="77777777" w:rsidR="00B365EC" w:rsidRDefault="00B365EC"/>
        </w:tc>
        <w:tc>
          <w:tcPr>
            <w:tcW w:w="15" w:type="pct"/>
            <w:vAlign w:val="center"/>
            <w:hideMark/>
          </w:tcPr>
          <w:p w14:paraId="32A7DB71" w14:textId="77777777" w:rsidR="00B365EC" w:rsidRDefault="00B365EC">
            <w:pPr>
              <w:spacing w:after="200" w:line="276" w:lineRule="auto"/>
            </w:pPr>
            <w:r>
              <w:t> </w:t>
            </w:r>
          </w:p>
        </w:tc>
      </w:tr>
      <w:tr w:rsidR="008D3447" w14:paraId="0992818D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16FAEF" w14:textId="77777777" w:rsidR="00B365EC" w:rsidRDefault="00B365EC"/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58CDA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0,6-1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93B93" w14:textId="77777777" w:rsidR="00B365EC" w:rsidRDefault="00B365EC">
            <w:pPr>
              <w:spacing w:after="60" w:line="276" w:lineRule="auto"/>
              <w:jc w:val="center"/>
            </w:pPr>
            <w: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0F289B" w14:textId="77777777" w:rsidR="00B365EC" w:rsidRDefault="00B365EC"/>
        </w:tc>
        <w:tc>
          <w:tcPr>
            <w:tcW w:w="0" w:type="auto"/>
            <w:gridSpan w:val="7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95909C" w14:textId="77777777" w:rsidR="00B365EC" w:rsidRDefault="00B365EC"/>
        </w:tc>
        <w:tc>
          <w:tcPr>
            <w:tcW w:w="15" w:type="pct"/>
            <w:vAlign w:val="center"/>
            <w:hideMark/>
          </w:tcPr>
          <w:p w14:paraId="4ED98364" w14:textId="77777777" w:rsidR="00B365EC" w:rsidRDefault="00B365EC">
            <w:pPr>
              <w:spacing w:after="200" w:line="276" w:lineRule="auto"/>
            </w:pPr>
            <w:r>
              <w:t> </w:t>
            </w:r>
          </w:p>
        </w:tc>
      </w:tr>
      <w:tr w:rsidR="008D3447" w14:paraId="3C907107" w14:textId="77777777">
        <w:tc>
          <w:tcPr>
            <w:tcW w:w="634" w:type="pct"/>
            <w:vAlign w:val="center"/>
            <w:hideMark/>
          </w:tcPr>
          <w:p w14:paraId="5480B91E" w14:textId="77777777" w:rsidR="00B365EC" w:rsidRDefault="00B365EC"/>
        </w:tc>
        <w:tc>
          <w:tcPr>
            <w:tcW w:w="394" w:type="pct"/>
            <w:vAlign w:val="center"/>
            <w:hideMark/>
          </w:tcPr>
          <w:p w14:paraId="694A84E5" w14:textId="77777777" w:rsidR="00B365EC" w:rsidRDefault="00B365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17" w:type="pct"/>
            <w:vAlign w:val="center"/>
            <w:hideMark/>
          </w:tcPr>
          <w:p w14:paraId="6AD92C97" w14:textId="77777777" w:rsidR="00B365EC" w:rsidRDefault="00B365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9" w:type="pct"/>
            <w:vAlign w:val="center"/>
            <w:hideMark/>
          </w:tcPr>
          <w:p w14:paraId="2890902C" w14:textId="77777777" w:rsidR="00B365EC" w:rsidRDefault="00B365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6" w:type="pct"/>
            <w:vAlign w:val="center"/>
            <w:hideMark/>
          </w:tcPr>
          <w:p w14:paraId="4CF7B071" w14:textId="77777777" w:rsidR="00B365EC" w:rsidRDefault="00B365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" w:type="pct"/>
            <w:vAlign w:val="center"/>
            <w:hideMark/>
          </w:tcPr>
          <w:p w14:paraId="5538AB54" w14:textId="77777777" w:rsidR="00B365EC" w:rsidRDefault="00B365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1" w:type="pct"/>
            <w:vAlign w:val="center"/>
            <w:hideMark/>
          </w:tcPr>
          <w:p w14:paraId="7A118BE8" w14:textId="77777777" w:rsidR="00B365EC" w:rsidRDefault="00B365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3" w:type="pct"/>
            <w:vAlign w:val="center"/>
            <w:hideMark/>
          </w:tcPr>
          <w:p w14:paraId="0E312DAF" w14:textId="77777777" w:rsidR="00B365EC" w:rsidRDefault="00B365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9" w:type="pct"/>
            <w:vAlign w:val="center"/>
            <w:hideMark/>
          </w:tcPr>
          <w:p w14:paraId="0FB2435B" w14:textId="77777777" w:rsidR="00B365EC" w:rsidRDefault="00B365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38" w:type="pct"/>
            <w:vAlign w:val="center"/>
            <w:hideMark/>
          </w:tcPr>
          <w:p w14:paraId="44CEB70D" w14:textId="77777777" w:rsidR="00B365EC" w:rsidRDefault="00B365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13" w:type="pct"/>
            <w:vAlign w:val="center"/>
            <w:hideMark/>
          </w:tcPr>
          <w:p w14:paraId="49514204" w14:textId="77777777" w:rsidR="00B365EC" w:rsidRDefault="00B365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" w:type="pct"/>
            <w:vAlign w:val="center"/>
            <w:hideMark/>
          </w:tcPr>
          <w:p w14:paraId="4D5E7A8E" w14:textId="77777777" w:rsidR="00B365EC" w:rsidRDefault="00B365EC">
            <w:pPr>
              <w:spacing w:after="200" w:line="276" w:lineRule="auto"/>
            </w:pPr>
            <w:r>
              <w:t> </w:t>
            </w:r>
          </w:p>
        </w:tc>
      </w:tr>
    </w:tbl>
    <w:p w14:paraId="0C4CF269" w14:textId="77777777" w:rsidR="00B365EC" w:rsidRDefault="00B365EC">
      <w:pPr>
        <w:spacing w:before="120" w:after="60" w:line="276" w:lineRule="auto"/>
        <w:ind w:firstLine="567"/>
        <w:jc w:val="both"/>
      </w:pPr>
      <w:r>
        <w:rPr>
          <w:rFonts w:ascii="Arial" w:hAnsi="Arial" w:cs="Arial"/>
          <w:b/>
          <w:bCs/>
        </w:rPr>
        <w:t>В дошкольном образовании</w:t>
      </w:r>
      <w:r>
        <w:rPr>
          <w:rFonts w:ascii="Arial" w:hAnsi="Arial" w:cs="Arial"/>
        </w:rPr>
        <w:t xml:space="preserve"> Программа направлена на реализацию следующих мер политики:</w:t>
      </w:r>
    </w:p>
    <w:p w14:paraId="7EFC69F3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расширение доступа к качественному дошкольному образованию и программам раннего развития детей. Государство будет поддерживать программу предшкольной подготовки и поощрять создание широкой сети дошкольных образовательных организаций, через вариативные формы дошкольного образования, такие как краткосрочные детские сады, центры раннего развития и центры детского творчества, центры выходного дня и др., формирующие разные области развития детей;</w:t>
      </w:r>
    </w:p>
    <w:p w14:paraId="34799E3E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модернизация содержания программ дошкольного образования и приведение в соответствии со стандартами развития детей, обеспечение преемственности с программой обучения в начальной школе;</w:t>
      </w:r>
    </w:p>
    <w:p w14:paraId="38B879E1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расширение охвата программами многоязычного обучения, что позволит ввести раннее обучение параллельно на разных языках;</w:t>
      </w:r>
    </w:p>
    <w:p w14:paraId="18287FE9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развитие цифровых образовательных материалов для педагогов дошкольного образования и программ предшкольной подготовки;</w:t>
      </w:r>
    </w:p>
    <w:p w14:paraId="64BFD8F2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внедрение системы непрерывного развития педагогов, а также целевая подготовка методических кадров для системы дошкольного образования;</w:t>
      </w:r>
    </w:p>
    <w:p w14:paraId="2EF2AACF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разработка стандарта оснащенности разных типов детских садов и программ дошкольной подготовки для создания безопасной обучающей среды, здорового образа жизни, включая требования к организации питания, санитарии, гигиены через усиление работ по обеспечению ухода за детьми дошкольного возраста;</w:t>
      </w:r>
    </w:p>
    <w:p w14:paraId="2E8F9A72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внедрение системы нормативного бюджетного (подушевого) финансирования дошкольного образования, которая будет способствовать равномерному и прозрачному распределению средств и создаст дополнительные возможности для развития альтернативных форм дошкольных организаций;</w:t>
      </w:r>
    </w:p>
    <w:p w14:paraId="5624D9AF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внедрение регулярного мониторинга развития детей по разным областям развития (физическое развитие, социальная компетентность, эмоциональная зрелость, языковое и познавательное развитие, коммуникативные навыки и общие знания) с использованием эффективных инструментов наблюдения, как на уровне дошкольных организаций, так и на уровне системы.</w:t>
      </w:r>
    </w:p>
    <w:p w14:paraId="5EBFF958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  <w:b/>
          <w:bCs/>
        </w:rPr>
        <w:t>В школьном образовании</w:t>
      </w:r>
      <w:r>
        <w:rPr>
          <w:rFonts w:ascii="Arial" w:hAnsi="Arial" w:cs="Arial"/>
        </w:rPr>
        <w:t xml:space="preserve"> Программа направлена на реализацию следующих мер политики:</w:t>
      </w:r>
    </w:p>
    <w:p w14:paraId="05CD9EF5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 xml:space="preserve">- переход, с 2022 года, к обязательному среднему общему образованию, согласно </w:t>
      </w:r>
      <w:hyperlink r:id="rId8" w:history="1">
        <w:r>
          <w:rPr>
            <w:rStyle w:val="a3"/>
            <w:rFonts w:ascii="Arial" w:hAnsi="Arial" w:cs="Arial"/>
          </w:rPr>
          <w:t>Закону</w:t>
        </w:r>
      </w:hyperlink>
      <w:r>
        <w:rPr>
          <w:rFonts w:ascii="Arial" w:hAnsi="Arial" w:cs="Arial"/>
        </w:rPr>
        <w:t xml:space="preserve"> Кыргызской Республики "Об образовании", через общеобразовательные школы, профессиональные лицеи и колледжи;</w:t>
      </w:r>
    </w:p>
    <w:p w14:paraId="3C57C564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улучшение инфраструктуры школ через строительство новых, капитальный ремонт действующих и строительство дополнительных зданий к действующим школам;</w:t>
      </w:r>
    </w:p>
    <w:p w14:paraId="0E3C6380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создание и поддержание эффективной и безопасной среды обучения, предусматривающей физическую, психологическую/социальную, информационную и экологическую безопасность;</w:t>
      </w:r>
    </w:p>
    <w:p w14:paraId="3DC1D4A1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улучшение условий для обеспечения горячего питания в общеобразовательных школах, поддержания гигиены и здорового образа жизни;</w:t>
      </w:r>
    </w:p>
    <w:p w14:paraId="500707FE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внедрение принципов инклюзивного образования в системе общеобразовательных школ, при сохранении специализированных школ с учетом потребностей детей с инвалидностью;</w:t>
      </w:r>
    </w:p>
    <w:p w14:paraId="38CA7D81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поддержка детей из категории уязвимых семей, а также соблюдение принципов равного гендерного доступа к образованию;</w:t>
      </w:r>
    </w:p>
    <w:p w14:paraId="4B3D9CB9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развитие цифровой среды, цифрового обучения и доступа к образовательным ресурсам как из школы, так и в домашних условиях;</w:t>
      </w:r>
    </w:p>
    <w:p w14:paraId="15B23D67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формирование политики и практики воспитания как единого, преемственного, педагогически направленного процесса, а также вовлечение родителей и общественности в воспитательный, образовательный, познавательный процессы и социально-эмоциональное развитие учащихся;</w:t>
      </w:r>
    </w:p>
    <w:p w14:paraId="71EA43E0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модернизация содержания образования, ориентированного на развитие знаний и компетентностей каждого обучающегося;</w:t>
      </w:r>
    </w:p>
    <w:p w14:paraId="433ACFB4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развитие многоязычного образования для повышения человеческого потенциала и конкурентоспособности;</w:t>
      </w:r>
    </w:p>
    <w:p w14:paraId="423EF273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улучшение качества учебников и учебных материалов, доведение уровня обеспеченности учебниками в разрезе предметов до 100%;</w:t>
      </w:r>
    </w:p>
    <w:p w14:paraId="03E7F940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повышение потенциала педагогических кадров и внедрение эффективной модели профессионального и карьерного роста педагогов, связанной с профессиональной поддержкой и системой стимулирования;</w:t>
      </w:r>
    </w:p>
    <w:p w14:paraId="7551CD0F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обновление подходов для формирования прозрачного процесса отбора и расстановки кадров, основанного на оценке результатов деятельности и компетенциях;</w:t>
      </w:r>
    </w:p>
    <w:p w14:paraId="5E34BD38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построение целостной системы оценивания результатов обучения и регулярное участие в национальных и международных исследованиях качества школьного образования;</w:t>
      </w:r>
    </w:p>
    <w:p w14:paraId="284C0874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постепенное увеличение минимальных стандартов бюджетного финансирования для обеспечения функционирования и развития системы образования, систематическое повышение заработной платы педагогов;</w:t>
      </w:r>
    </w:p>
    <w:p w14:paraId="07ED0E54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профилизация школы, в том числе по математической, естественно-научной, технологической образовательным областям (STEM-предметам).</w:t>
      </w:r>
    </w:p>
    <w:p w14:paraId="2C4B6B3B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  <w:b/>
          <w:bCs/>
        </w:rPr>
        <w:t>В начальном и среднем профессиональном образовании</w:t>
      </w:r>
      <w:r>
        <w:rPr>
          <w:rFonts w:ascii="Arial" w:hAnsi="Arial" w:cs="Arial"/>
        </w:rPr>
        <w:t xml:space="preserve"> Программа направлена на реализацию следующих мер политики:</w:t>
      </w:r>
    </w:p>
    <w:p w14:paraId="645D918B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профессиональная ориентация молодежи, направленная на изменение отношения общества к востребованным рабочим профессиям, техническим направлениям подготовки, сложным наукоемким специальностям;</w:t>
      </w:r>
    </w:p>
    <w:p w14:paraId="74A57CE6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усиление инклюзии в системе профессионального образования для социализации детей с ограниченными возможностями здоровья, детей из семей в трудной жизненной ситуации и детей-сирот;</w:t>
      </w:r>
    </w:p>
    <w:p w14:paraId="0BB589FB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повышение качества профессионального образования и обновление его содержания на основе профессиональных стандартов;</w:t>
      </w:r>
    </w:p>
    <w:p w14:paraId="4E7B1090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усиление взаимодействия с объединениями работодателей и обеспечение для них стимулирующих факторов при формировании содержания образования, баз стажировок и практик, результатов обучения;</w:t>
      </w:r>
    </w:p>
    <w:p w14:paraId="62374EDC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развитие центров передового опыта как площадок для передачи современных знаний, передового опыта и инноваций для учащихся, преподавателей и администраторов организаций профессионального образования;</w:t>
      </w:r>
    </w:p>
    <w:p w14:paraId="7ED932FF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развитие системы независимой оценки качества профессионального образования, включая оценку и сертификацию выпускников на основе Национальной рамки квалификаций, валидацию и проведение независимой аккредитации;</w:t>
      </w:r>
    </w:p>
    <w:p w14:paraId="6D86621C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развитие международной интеграции профессионального образования, в том числе и для обеспечения роста его экспорта, включая участие в международных профессиональных соревнованиях;</w:t>
      </w:r>
    </w:p>
    <w:p w14:paraId="576EC794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оптимизация систем начального профессионального и среднего профессионального образования, что позволит сделать систему более мобильной, отвечающей запросам рынка труда и потребителей, эффективнее использовать финансовые ресурсы и предусмотреть преемственность между двумя уровнями;</w:t>
      </w:r>
    </w:p>
    <w:p w14:paraId="4FEB58E6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переход от финансирования профессионального образования, основанного на затратах, к нормативному бюджетному финансированию.</w:t>
      </w:r>
    </w:p>
    <w:p w14:paraId="12BE4B1F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  <w:b/>
          <w:bCs/>
        </w:rPr>
        <w:t>В высшем профессиональном и послевузовском образовании</w:t>
      </w:r>
      <w:r>
        <w:rPr>
          <w:rFonts w:ascii="Arial" w:hAnsi="Arial" w:cs="Arial"/>
        </w:rPr>
        <w:t xml:space="preserve"> Программа направлена на реализацию следующих мер политики:</w:t>
      </w:r>
    </w:p>
    <w:p w14:paraId="29549664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совершенствование системы профессиональной ориентации молодежи;</w:t>
      </w:r>
    </w:p>
    <w:p w14:paraId="2D1A41A9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повышение качества образования и модернизация его содержания в соответствии с международными тенденциями и постоянно изменяющимися требованиями к компетенциям выпускников, что предусматривает широкое вовлечение в процесс работодателей;</w:t>
      </w:r>
    </w:p>
    <w:p w14:paraId="6355C73C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передача роли основного определителя и регулятора содержания государственного образовательного стандарта вузам, с обязательным условием соблюдения лицензионных и аккредитационных требований;</w:t>
      </w:r>
    </w:p>
    <w:p w14:paraId="6CC936A4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постепенный переход на регулирование Перечня специальностей Национальной системой квалификаций Кыргызской Республики;</w:t>
      </w:r>
    </w:p>
    <w:p w14:paraId="7E42165A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создание Национальной модели рейтинга вузов, как стартовой площадки для подготовки вузов к участию в международных рейтингах;</w:t>
      </w:r>
    </w:p>
    <w:p w14:paraId="486086BC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усовершенствование системы независимой аккредитации по результатам мониторинга деятельности агентств;</w:t>
      </w:r>
    </w:p>
    <w:p w14:paraId="3A1DC6DE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повышение научной составляющей в вузах, переориентация науки на прикладные исследования, улучшение качества исследовательской деятельности и экономической эффективности результатов научных работ, создание вузами креативных лабораторий, стартапов, научных и инновационных центров.</w:t>
      </w:r>
    </w:p>
    <w:p w14:paraId="2363140F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  <w:b/>
          <w:bCs/>
        </w:rPr>
        <w:t>В образовании взрослых</w:t>
      </w:r>
      <w:r>
        <w:rPr>
          <w:rFonts w:ascii="Arial" w:hAnsi="Arial" w:cs="Arial"/>
        </w:rPr>
        <w:t xml:space="preserve"> Программа направлена на реализацию следующих мер политики:</w:t>
      </w:r>
    </w:p>
    <w:p w14:paraId="2B053C06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создание системы официального признания квалификации, знаний и умений, приобретенных неформальным путем и на основе опыта профессиональной деятельности;</w:t>
      </w:r>
    </w:p>
    <w:p w14:paraId="02DC6AFB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налаживание связей образовательных организаций дополнительного образования с реальным сектором экономики в зависимости от реального контингента слушателей и заказа определенных направлений обучения;</w:t>
      </w:r>
    </w:p>
    <w:p w14:paraId="5D00C685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выстраивание системы гарантии качества согласно Национальной системе квалификаций Кыргызской Республики;</w:t>
      </w:r>
    </w:p>
    <w:p w14:paraId="01CCC406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соотнесение законодательства Кыргызской Республики с законодательными актами стран ЕАЭС и СНГ в области образования взрослых.</w:t>
      </w:r>
    </w:p>
    <w:p w14:paraId="2788CD48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  <w:b/>
          <w:bCs/>
        </w:rPr>
        <w:t>В сфере управления, мониторинга и стратегического планирования</w:t>
      </w:r>
      <w:r>
        <w:rPr>
          <w:rFonts w:ascii="Arial" w:hAnsi="Arial" w:cs="Arial"/>
        </w:rPr>
        <w:t xml:space="preserve"> Программа направлена на реализацию следующих мер политики:</w:t>
      </w:r>
    </w:p>
    <w:p w14:paraId="4638185A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управление образованием, ориентированное на результат, принятие решений, основанных на мониторинговых данных, проектирование изменений системы образования с учетом будущих тенденций;</w:t>
      </w:r>
    </w:p>
    <w:p w14:paraId="710B1354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повышение прозрачности и подотчетности органов управления и образовательных организаций, с целью повышения общественного доверия и предотвращения коррупционных рисков;</w:t>
      </w:r>
    </w:p>
    <w:p w14:paraId="50F1672A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модернизация процесса управления человеческими ресурсами с целью раскрытия потенциала административных кадров на всех уровнях образования;</w:t>
      </w:r>
    </w:p>
    <w:p w14:paraId="580F9497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формирование оптимальных подходов к финансированию системы образования, предусматривающих эффективное применение принципов финансового менеджмента в условиях имеющихся ресурсов;</w:t>
      </w:r>
    </w:p>
    <w:p w14:paraId="68C458FE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автоматизированная информационная система управления образованием как основной инструмент сбора, анализа данных и прогнозирования состояния системы образования по количественным и качественным показателям;</w:t>
      </w:r>
    </w:p>
    <w:p w14:paraId="4F96F6F1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проведение регулярных исследований в сфере образования и оценка их результатов для принятия обоснованных решений;</w:t>
      </w:r>
    </w:p>
    <w:p w14:paraId="6D8C6040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систематический функциональный анализ для оптимизации системы и структур управления образованием.</w:t>
      </w:r>
    </w:p>
    <w:p w14:paraId="3D557C40" w14:textId="77777777" w:rsidR="00B365EC" w:rsidRDefault="00B365EC">
      <w:pPr>
        <w:spacing w:before="200" w:after="200" w:line="276" w:lineRule="auto"/>
        <w:ind w:left="1134" w:right="1134"/>
        <w:jc w:val="center"/>
      </w:pPr>
      <w:bookmarkStart w:id="6" w:name="r7"/>
      <w:bookmarkEnd w:id="6"/>
      <w:r>
        <w:rPr>
          <w:rFonts w:ascii="Arial" w:hAnsi="Arial" w:cs="Arial"/>
          <w:b/>
          <w:bCs/>
        </w:rPr>
        <w:t>7. Ожидаемые результаты - индикаторы достижения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"/>
        <w:gridCol w:w="1862"/>
        <w:gridCol w:w="1305"/>
        <w:gridCol w:w="1780"/>
        <w:gridCol w:w="1419"/>
        <w:gridCol w:w="1623"/>
        <w:gridCol w:w="954"/>
      </w:tblGrid>
      <w:tr w:rsidR="008D3447" w14:paraId="1331E45D" w14:textId="77777777">
        <w:tc>
          <w:tcPr>
            <w:tcW w:w="1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C669D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  <w:b/>
                <w:bCs/>
              </w:rPr>
              <w:t>№</w:t>
            </w:r>
          </w:p>
        </w:tc>
        <w:tc>
          <w:tcPr>
            <w:tcW w:w="10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953D4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  <w:b/>
                <w:bCs/>
              </w:rPr>
              <w:t>Индикаторы</w:t>
            </w:r>
          </w:p>
        </w:tc>
        <w:tc>
          <w:tcPr>
            <w:tcW w:w="7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1A7BB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  <w:b/>
                <w:bCs/>
              </w:rPr>
              <w:t>Базовый год</w:t>
            </w:r>
            <w:r>
              <w:rPr>
                <w:rFonts w:ascii="Arial" w:hAnsi="Arial" w:cs="Arial"/>
                <w:b/>
                <w:bCs/>
              </w:rPr>
              <w:br/>
              <w:t>(2020 г.)</w:t>
            </w:r>
          </w:p>
        </w:tc>
        <w:tc>
          <w:tcPr>
            <w:tcW w:w="9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CA838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  <w:b/>
                <w:bCs/>
              </w:rPr>
              <w:t>Прогноз</w:t>
            </w:r>
            <w:r>
              <w:rPr>
                <w:rFonts w:ascii="Arial" w:hAnsi="Arial" w:cs="Arial"/>
                <w:b/>
                <w:bCs/>
              </w:rPr>
              <w:br/>
              <w:t>(2023 г.)</w:t>
            </w:r>
          </w:p>
        </w:tc>
        <w:tc>
          <w:tcPr>
            <w:tcW w:w="7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E4CC7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  <w:b/>
                <w:bCs/>
              </w:rPr>
              <w:t>Прогноз</w:t>
            </w:r>
            <w:r>
              <w:rPr>
                <w:rFonts w:ascii="Arial" w:hAnsi="Arial" w:cs="Arial"/>
                <w:b/>
                <w:bCs/>
              </w:rPr>
              <w:br/>
              <w:t>(2030 г.)</w:t>
            </w:r>
          </w:p>
        </w:tc>
        <w:tc>
          <w:tcPr>
            <w:tcW w:w="8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43F5E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  <w:b/>
                <w:bCs/>
              </w:rPr>
              <w:t>Прогноз</w:t>
            </w:r>
            <w:r>
              <w:rPr>
                <w:rFonts w:ascii="Arial" w:hAnsi="Arial" w:cs="Arial"/>
                <w:b/>
                <w:bCs/>
              </w:rPr>
              <w:br/>
              <w:t>(2040 г.)</w:t>
            </w:r>
          </w:p>
        </w:tc>
        <w:tc>
          <w:tcPr>
            <w:tcW w:w="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FC127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  <w:b/>
                <w:bCs/>
              </w:rPr>
              <w:t>Источник данных</w:t>
            </w:r>
          </w:p>
        </w:tc>
      </w:tr>
      <w:tr w:rsidR="008D3447" w14:paraId="3203D2AE" w14:textId="77777777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28C8A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67248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Сумма расходов на дошкольное образование в соответствии с % охвата детей в возрасте 1-6 лет (ЦУР 1.а.)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B2095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3,5 млрд. на 22,2% охвата дошкольным образованием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DA14F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3,9 млрд. на 25%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241D8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5 млрд. на 32%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4ECC3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6,6 млрд. на 42%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BC0E4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МЭФ</w:t>
            </w:r>
          </w:p>
        </w:tc>
      </w:tr>
      <w:tr w:rsidR="008D3447" w14:paraId="652CC68F" w14:textId="77777777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62D9C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08FB2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Охват детей в возрасте 5,5-7 лет программами предшкольной подготовки (ЦУР 4.2.)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540DB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82%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5FD4F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90%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391D2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95%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E021F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95%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4617C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НСК</w:t>
            </w:r>
          </w:p>
        </w:tc>
      </w:tr>
      <w:tr w:rsidR="008D3447" w14:paraId="53273C92" w14:textId="77777777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A471A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65A2E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Охват детей дошкольным образованием по полу и территории (в процентах к соответствующей возрастной группе 1-6 лет) (ЦУР 4.2.)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E7739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22,2%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08E64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34D25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32%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374D5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42%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5FAE7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НСК</w:t>
            </w:r>
          </w:p>
        </w:tc>
      </w:tr>
      <w:tr w:rsidR="008D3447" w14:paraId="428FDB04" w14:textId="77777777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B7FE9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6E371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Охват детей средним общим образованием в городских поселениях и сельской местности (в процентах от населения в возрасте 7-17 лет) (ЦУР 4.1.)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018B4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97,8%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08324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98,8%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3B612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98,8%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CC103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98,8%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535DB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НСК</w:t>
            </w:r>
          </w:p>
        </w:tc>
      </w:tr>
      <w:tr w:rsidR="008D3447" w14:paraId="39AF3F5A" w14:textId="77777777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20BBC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8F89F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Доля детей с ограниченными возможностями здоровья, обучающихся по индивидуальным планам обучения и адаптивным программам в государственных школах с 1-11 класс, из числа зарегистрированных детей с ограниченными возможностями здоровья в возрасте от 7-18 лет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6D6FB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4%</w:t>
            </w:r>
            <w:r>
              <w:rPr>
                <w:rFonts w:ascii="Arial" w:hAnsi="Arial" w:cs="Arial"/>
              </w:rPr>
              <w:br/>
              <w:t>(от 10200 человек на 2020 год)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2589E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10%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E5B93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22%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BD663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42%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C98D0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МОН</w:t>
            </w:r>
          </w:p>
        </w:tc>
      </w:tr>
      <w:tr w:rsidR="008D3447" w14:paraId="5C4DA0F2" w14:textId="77777777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E26BB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08EE8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Соотношение компьютер/учащийся в среднем по стране (ЦУР 4.а.)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70BE3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1/28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FC061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1/26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43CEE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1/15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23B52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1/13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A8FDA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МОН</w:t>
            </w:r>
          </w:p>
        </w:tc>
      </w:tr>
      <w:tr w:rsidR="008D3447" w14:paraId="754ACC31" w14:textId="77777777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43C68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E291C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Наличие системы измерений образовательных достижений школьников (ЦУР 4.1.)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C1460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11 класс - регулярное проведение ИГА, 9 класс - пилотная апробация ИГА, данные НООДУ-2017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694CC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9 и 11 классы - регулярное проведение ИГА, данные НООДУ-2021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71B92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9 и 11 класс - регулярное проведение ИГА, национальные и международные исследования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97220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9 и 11 класс - регулярное проведение ИГА, национальные и международные исследования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C1768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МОН</w:t>
            </w:r>
          </w:p>
        </w:tc>
      </w:tr>
      <w:tr w:rsidR="008D3447" w14:paraId="30C9AF54" w14:textId="77777777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864B8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CB67D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Показатели среднего балла ОРТ по стране и результаты участия в P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>SA (ЦУР 4.1., ЦУР 4.6.)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1DCD6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120 баллов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1C84B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123 балла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DDB2E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130 баллов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E7051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145 баллов</w:t>
            </w:r>
          </w:p>
          <w:p w14:paraId="4B67AFF6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Результаты PISA к 2040 г. - на 15 пунктов выше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656B8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МОН</w:t>
            </w:r>
          </w:p>
        </w:tc>
      </w:tr>
      <w:tr w:rsidR="008D3447" w14:paraId="407B1AB0" w14:textId="77777777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8053A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D687E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Средний балл ОРТ у абитуриентов, поступающих на педагогические специальности в вузы страны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EB598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130 баллов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93999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135 баллов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370F6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145 баллов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140B2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160 баллов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BB067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МОН</w:t>
            </w:r>
          </w:p>
        </w:tc>
      </w:tr>
      <w:tr w:rsidR="008D3447" w14:paraId="05BD396C" w14:textId="77777777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B9F6A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F784E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Соотношение средней зарплаты по экономике к средней зарплате учителя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71729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1,3</w:t>
            </w:r>
            <w:r>
              <w:rPr>
                <w:rFonts w:ascii="Arial" w:hAnsi="Arial" w:cs="Arial"/>
              </w:rPr>
              <w:br/>
              <w:t>(24,2 тыс./18,7 тыс. сомов)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05D08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По факту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DCD47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По факту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900AC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По факту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BA532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НСК,</w:t>
            </w:r>
            <w:r>
              <w:rPr>
                <w:rFonts w:ascii="Arial" w:hAnsi="Arial" w:cs="Arial"/>
              </w:rPr>
              <w:br/>
              <w:t>МЭФ,</w:t>
            </w:r>
            <w:r>
              <w:rPr>
                <w:rFonts w:ascii="Arial" w:hAnsi="Arial" w:cs="Arial"/>
              </w:rPr>
              <w:br/>
              <w:t>МОН</w:t>
            </w:r>
          </w:p>
        </w:tc>
      </w:tr>
      <w:tr w:rsidR="008D3447" w14:paraId="748CD01A" w14:textId="77777777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097EF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19266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Доля образовательных программ в системе начального профессионального образования, реализующихся по принципам дуального обучения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A4671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D52C3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12%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CEA64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20%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8D937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30%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1F97B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МОН</w:t>
            </w:r>
          </w:p>
        </w:tc>
      </w:tr>
      <w:tr w:rsidR="008D3447" w14:paraId="28352405" w14:textId="77777777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86F47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1DE1F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Доля педагогического персонала в начальном профессиональном и среднем профессиональном образовании, регулярно проходящих повышение квалификации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3113F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96A64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15%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34344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50%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83F5F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100%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41E24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МОН</w:t>
            </w:r>
          </w:p>
        </w:tc>
      </w:tr>
      <w:tr w:rsidR="008D3447" w14:paraId="38478EAA" w14:textId="77777777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39E99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811B3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Система обеспечения качества высшего профессионального образования (аккредитационные агентства, ранжирование вузов путем сочетания различных факторов)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BC9C1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Мониторинг деятельности агентств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7E721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Анализ результатов мониторинга и усовершенствование нормативных правовых актов. Внедрение системы ранжирования (построения рейтинга) вузов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A93C2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Участие вузов в национальных и международных рейтингах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37136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Участие вузов в национальных и международных рейтингах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B08A6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МОН</w:t>
            </w:r>
          </w:p>
        </w:tc>
      </w:tr>
      <w:tr w:rsidR="008D3447" w14:paraId="50FD4C5A" w14:textId="77777777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8D8BD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FA15B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Показатели интернационализации высшего профессионального образования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DD99A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Доля: иностранных студентов в вузах КР, иностранных педагогов в вузах КР, магистерских программ на иностранных языках, ППС, прошедших ПК/стажировку за рубежом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1D5F6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Доля: иностранных студентов в вузах КР, иностранных педагогов в вузах КР, магистерских программ на иностранных языках, ППС, прошедших ПК/стажировку за рубежом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A49A9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Доля: иностранных студентов в вузах КР, иностранных педагогов в вузах КР, магистерских программ на иностранных языках, ППС, прошедших ПК/стажировку за рубежом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8A5A6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Доля: иностранных студентов в вузах КР, иностранных педагогов в вузах КР, магистерских программ на иностранных языках, ППС, прошедших ПК/стажировку за рубежом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78F32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МОН</w:t>
            </w:r>
          </w:p>
        </w:tc>
      </w:tr>
      <w:tr w:rsidR="008D3447" w14:paraId="7D80F069" w14:textId="77777777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6F4B6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69FB1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Нормативное бюджетное финансирование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91E44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Школы, профлицеи, вузы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B1629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Детские сады, спузы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DD53F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На всех уровнях образования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AAE1F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На всех уровнях образования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6CC1B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МОН,</w:t>
            </w:r>
            <w:r>
              <w:rPr>
                <w:rFonts w:ascii="Arial" w:hAnsi="Arial" w:cs="Arial"/>
              </w:rPr>
              <w:br/>
              <w:t>МЭФ</w:t>
            </w:r>
          </w:p>
        </w:tc>
      </w:tr>
      <w:tr w:rsidR="008D3447" w14:paraId="7ED06852" w14:textId="77777777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3ECB8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D435C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Система официального признания квалификаций, знаний и умений, приобретенных неформальным путем и на основе опыта профессиональной деятельности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DE535" w14:textId="77777777" w:rsidR="00B365EC" w:rsidRDefault="00B365EC">
            <w:pPr>
              <w:spacing w:after="60" w:line="276" w:lineRule="auto"/>
              <w:jc w:val="center"/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EF25B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Разработка модели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44735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Внедрение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C6DEE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Функционирование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22DB5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МОН</w:t>
            </w:r>
          </w:p>
        </w:tc>
      </w:tr>
    </w:tbl>
    <w:p w14:paraId="1C3EFD77" w14:textId="77777777" w:rsidR="00B365EC" w:rsidRDefault="00B365EC">
      <w:pPr>
        <w:spacing w:before="200" w:after="200" w:line="276" w:lineRule="auto"/>
        <w:ind w:left="1134" w:right="1134"/>
        <w:jc w:val="center"/>
      </w:pPr>
      <w:bookmarkStart w:id="7" w:name="r8"/>
      <w:bookmarkEnd w:id="7"/>
      <w:r>
        <w:rPr>
          <w:rFonts w:ascii="Arial" w:hAnsi="Arial" w:cs="Arial"/>
          <w:b/>
          <w:bCs/>
        </w:rPr>
        <w:t>8. Возможные риски и угрозы</w:t>
      </w:r>
    </w:p>
    <w:p w14:paraId="378E7275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При реализации Программы существуют следующие возможные риски, которые могут повлиять на достижение поставленных целей и задач:</w:t>
      </w:r>
    </w:p>
    <w:p w14:paraId="6EC9BD21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снижение темпов роста экономики, снижение притока инвестиций в страну, возникновение бюджетного дефицита, что приведет к снижению финансирования или недополучению достаточных средств для функционирования и развития системы образования;</w:t>
      </w:r>
    </w:p>
    <w:p w14:paraId="4C6997E5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политическая нестабильность, стихийные бедствия, техногенные катастрофы, коррупция, что может негативно повлиять на сбалансированный подход и исполнение всех поставленных задач;</w:t>
      </w:r>
    </w:p>
    <w:p w14:paraId="09F4FE3E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возможная радикализация общества, что может привести, в том числе, к межконфессиональным противоречиям и снижению охвата образованием;</w:t>
      </w:r>
    </w:p>
    <w:p w14:paraId="16CA4008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отсутствие понимания значимости проводимых преобразований и, соответственно, затягивание внедрения отдельных инициатив и решений, возможная незаинтересованность сообщества участвовать в реализации образовательной политики;</w:t>
      </w:r>
    </w:p>
    <w:p w14:paraId="68072C86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отставание человеческого потенциала в системе образования и у населения от скорости развития и внедрения современных информационно-коммуникационных технологий;</w:t>
      </w:r>
    </w:p>
    <w:p w14:paraId="764404AA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- напряженная демографическая ситуация и недостаточный контроль над внутренней и внешней миграцией.</w:t>
      </w:r>
    </w:p>
    <w:p w14:paraId="2A73F4DB" w14:textId="77777777" w:rsidR="00B365EC" w:rsidRDefault="00B365EC">
      <w:pPr>
        <w:spacing w:before="200" w:after="200" w:line="276" w:lineRule="auto"/>
        <w:ind w:left="1134" w:right="1134"/>
        <w:jc w:val="center"/>
      </w:pPr>
      <w:bookmarkStart w:id="8" w:name="r9"/>
      <w:bookmarkEnd w:id="8"/>
      <w:r>
        <w:rPr>
          <w:rFonts w:ascii="Arial" w:hAnsi="Arial" w:cs="Arial"/>
          <w:b/>
          <w:bCs/>
        </w:rPr>
        <w:t>9. Мониторинг и оценка</w:t>
      </w:r>
    </w:p>
    <w:p w14:paraId="3D853C37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Изложенные в настоящей Программе цели, задачи, меры политики и индикаторы будут реализовываться через соответствующие планы действий по реализации Программы, направленные на достижение конкретных результатов соответствующими исполнителями в установленные сроки.</w:t>
      </w:r>
    </w:p>
    <w:p w14:paraId="3B63EED6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Регулярный мониторинг исполнения планов действий при реализации стратегических направлений является неотъемлемым элементом выполнения Программы. Это позволит заблаговременно исключать возможные отклонения от целей, задач, мер политики Программы и вносить необходимые корректировки в каждый последующий план.</w:t>
      </w:r>
    </w:p>
    <w:p w14:paraId="03CE4DF4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На реализацию каждого Плана действий будут направлены средства республиканского бюджета в рамках бюджетных ассигнований государственных органов, в пределах предусмотренных средств на соответствующий год, а также средства из других источников, не противоречащих законодательству Кыргызской Республики, включая финансовые средства, выделяемые международными организациями-партнерами.</w:t>
      </w:r>
    </w:p>
    <w:p w14:paraId="1C9144B0" w14:textId="77777777" w:rsidR="00B365EC" w:rsidRDefault="00B365EC">
      <w:pPr>
        <w:spacing w:after="60" w:line="276" w:lineRule="auto"/>
        <w:ind w:firstLine="567"/>
        <w:jc w:val="both"/>
      </w:pPr>
      <w:r>
        <w:rPr>
          <w:rFonts w:ascii="Arial" w:hAnsi="Arial" w:cs="Arial"/>
        </w:rPr>
        <w:t>При этом следует отметить, что качественная реализация планов действий будет зависеть от надлежащего и своевременного финансирования мероприятий, указанных в них.</w:t>
      </w:r>
    </w:p>
    <w:p w14:paraId="0C04CC83" w14:textId="77777777" w:rsidR="00B365EC" w:rsidRDefault="00B365EC">
      <w:pPr>
        <w:spacing w:after="60" w:line="276" w:lineRule="auto"/>
        <w:ind w:firstLine="567"/>
        <w:jc w:val="both"/>
      </w:pPr>
      <w:r>
        <w:t> </w:t>
      </w:r>
    </w:p>
    <w:p w14:paraId="2F267663" w14:textId="77777777" w:rsidR="00B365EC" w:rsidRDefault="00B365EC">
      <w:pPr>
        <w:spacing w:after="60" w:line="276" w:lineRule="auto"/>
        <w:jc w:val="center"/>
      </w:pPr>
      <w:r>
        <w:rPr>
          <w:rFonts w:ascii="Arial" w:hAnsi="Arial" w:cs="Arial"/>
          <w:b/>
          <w:bCs/>
        </w:rPr>
        <w:t>Список сокращений</w:t>
      </w:r>
      <w:r>
        <w:rPr>
          <w:rFonts w:ascii="Arial" w:hAnsi="Arial" w:cs="Arial"/>
          <w:b/>
          <w:bCs/>
          <w:lang w:val="en-US"/>
        </w:rPr>
        <w:t>:</w:t>
      </w:r>
    </w:p>
    <w:p w14:paraId="719881AA" w14:textId="77777777" w:rsidR="00B365EC" w:rsidRDefault="00B365EC">
      <w:pPr>
        <w:spacing w:after="60" w:line="276" w:lineRule="auto"/>
        <w:ind w:firstLine="567"/>
        <w:jc w:val="both"/>
      </w:pPr>
      <w: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7"/>
        <w:gridCol w:w="296"/>
        <w:gridCol w:w="7252"/>
      </w:tblGrid>
      <w:tr w:rsidR="008D3447" w14:paraId="7DE5C31A" w14:textId="77777777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2B33E76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  <w:b/>
                <w:bCs/>
              </w:rPr>
              <w:t>PhD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FF754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F702FC7" w14:textId="77777777" w:rsidR="00B365EC" w:rsidRDefault="00B365EC">
            <w:pPr>
              <w:spacing w:after="60" w:line="276" w:lineRule="auto"/>
              <w:jc w:val="both"/>
            </w:pPr>
            <w:r>
              <w:rPr>
                <w:rFonts w:ascii="Arial" w:hAnsi="Arial" w:cs="Arial"/>
              </w:rPr>
              <w:t>доктор философии;</w:t>
            </w:r>
          </w:p>
        </w:tc>
      </w:tr>
      <w:tr w:rsidR="008D3447" w14:paraId="4BA1E7C6" w14:textId="77777777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727AA62B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  <w:b/>
                <w:bCs/>
              </w:rPr>
              <w:t>PISA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5A4D9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18D201F6" w14:textId="77777777" w:rsidR="00B365EC" w:rsidRDefault="00B365EC">
            <w:pPr>
              <w:spacing w:after="60" w:line="276" w:lineRule="auto"/>
              <w:jc w:val="both"/>
            </w:pPr>
            <w:r>
              <w:rPr>
                <w:rFonts w:ascii="Arial" w:hAnsi="Arial" w:cs="Arial"/>
              </w:rPr>
              <w:t>международная программа по оценке образовательных достижений учащихся;</w:t>
            </w:r>
          </w:p>
        </w:tc>
      </w:tr>
      <w:tr w:rsidR="008D3447" w14:paraId="54553F27" w14:textId="77777777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D45739E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  <w:b/>
                <w:bCs/>
              </w:rPr>
              <w:t>STEM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14254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00A4064" w14:textId="77777777" w:rsidR="00B365EC" w:rsidRDefault="00B365EC">
            <w:pPr>
              <w:spacing w:after="60" w:line="276" w:lineRule="auto"/>
              <w:jc w:val="both"/>
            </w:pPr>
            <w:r>
              <w:rPr>
                <w:rFonts w:ascii="Arial" w:hAnsi="Arial" w:cs="Arial"/>
              </w:rPr>
              <w:t>наука, технологии, инженерия и математика;</w:t>
            </w:r>
          </w:p>
        </w:tc>
      </w:tr>
      <w:tr w:rsidR="008D3447" w14:paraId="48DB840D" w14:textId="77777777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65649AB3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  <w:b/>
                <w:bCs/>
              </w:rPr>
              <w:t>ЕАЭС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FB591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7357523" w14:textId="77777777" w:rsidR="00B365EC" w:rsidRDefault="00B365EC">
            <w:pPr>
              <w:spacing w:after="60" w:line="276" w:lineRule="auto"/>
              <w:jc w:val="both"/>
            </w:pPr>
            <w:r>
              <w:rPr>
                <w:rFonts w:ascii="Arial" w:hAnsi="Arial" w:cs="Arial"/>
              </w:rPr>
              <w:t>Евразийский экономический союз;</w:t>
            </w:r>
          </w:p>
        </w:tc>
      </w:tr>
      <w:tr w:rsidR="008D3447" w14:paraId="50D35ABA" w14:textId="77777777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865B360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  <w:b/>
                <w:bCs/>
              </w:rPr>
              <w:t>ИГА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F3CBE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7EA412E" w14:textId="77777777" w:rsidR="00B365EC" w:rsidRDefault="00B365EC">
            <w:pPr>
              <w:spacing w:after="60" w:line="276" w:lineRule="auto"/>
              <w:jc w:val="both"/>
            </w:pPr>
            <w:r>
              <w:rPr>
                <w:rFonts w:ascii="Arial" w:hAnsi="Arial" w:cs="Arial"/>
              </w:rPr>
              <w:t>итоговая государственная аттестация;</w:t>
            </w:r>
          </w:p>
        </w:tc>
      </w:tr>
      <w:tr w:rsidR="008D3447" w14:paraId="4DEE86C0" w14:textId="77777777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74C6351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  <w:b/>
                <w:bCs/>
              </w:rPr>
              <w:t>МОН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AFAC9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6C3BB1F" w14:textId="77777777" w:rsidR="00B365EC" w:rsidRDefault="00B365EC">
            <w:pPr>
              <w:spacing w:after="60" w:line="276" w:lineRule="auto"/>
              <w:jc w:val="both"/>
            </w:pPr>
            <w:r>
              <w:rPr>
                <w:rFonts w:ascii="Arial" w:hAnsi="Arial" w:cs="Arial"/>
              </w:rPr>
              <w:t>Министерство образования и науки Кыргызской Республики;</w:t>
            </w:r>
          </w:p>
        </w:tc>
      </w:tr>
      <w:tr w:rsidR="008D3447" w14:paraId="733D7065" w14:textId="77777777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2B46291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  <w:b/>
                <w:bCs/>
              </w:rPr>
              <w:t>МЭФ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64750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65AC4D1" w14:textId="77777777" w:rsidR="00B365EC" w:rsidRDefault="00B365EC">
            <w:pPr>
              <w:spacing w:after="60" w:line="276" w:lineRule="auto"/>
              <w:jc w:val="both"/>
            </w:pPr>
            <w:r>
              <w:rPr>
                <w:rFonts w:ascii="Arial" w:hAnsi="Arial" w:cs="Arial"/>
              </w:rPr>
              <w:t>Министерство экономики и финансов Кыргызской Республики;</w:t>
            </w:r>
          </w:p>
        </w:tc>
      </w:tr>
      <w:tr w:rsidR="008D3447" w14:paraId="60F21DA1" w14:textId="77777777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70DD72B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  <w:b/>
                <w:bCs/>
              </w:rPr>
              <w:t>НСК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4457F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3EAC772" w14:textId="77777777" w:rsidR="00B365EC" w:rsidRDefault="00B365EC">
            <w:pPr>
              <w:spacing w:after="60" w:line="276" w:lineRule="auto"/>
              <w:jc w:val="both"/>
            </w:pPr>
            <w:r>
              <w:rPr>
                <w:rFonts w:ascii="Arial" w:hAnsi="Arial" w:cs="Arial"/>
              </w:rPr>
              <w:t>Национальный статистический комитет Кыргызской Республики;</w:t>
            </w:r>
          </w:p>
        </w:tc>
      </w:tr>
      <w:tr w:rsidR="008D3447" w14:paraId="5824A5F5" w14:textId="77777777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436792B0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  <w:b/>
                <w:bCs/>
              </w:rPr>
              <w:t>НООДУ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344AC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1C1E796A" w14:textId="77777777" w:rsidR="00B365EC" w:rsidRDefault="00B365EC">
            <w:pPr>
              <w:spacing w:after="60" w:line="276" w:lineRule="auto"/>
              <w:jc w:val="both"/>
            </w:pPr>
            <w:r>
              <w:rPr>
                <w:rFonts w:ascii="Arial" w:hAnsi="Arial" w:cs="Arial"/>
              </w:rPr>
              <w:t>национальное оценивание образовательных достижений учащихся;</w:t>
            </w:r>
          </w:p>
        </w:tc>
      </w:tr>
      <w:tr w:rsidR="008D3447" w14:paraId="19C40746" w14:textId="77777777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0FF88AA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  <w:b/>
                <w:bCs/>
              </w:rPr>
              <w:t>ООН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AA15F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1C7D9B85" w14:textId="77777777" w:rsidR="00B365EC" w:rsidRDefault="00B365EC">
            <w:pPr>
              <w:spacing w:after="60" w:line="276" w:lineRule="auto"/>
              <w:jc w:val="both"/>
            </w:pPr>
            <w:r>
              <w:rPr>
                <w:rFonts w:ascii="Arial" w:hAnsi="Arial" w:cs="Arial"/>
              </w:rPr>
              <w:t>Организация Объединенных Наций;</w:t>
            </w:r>
          </w:p>
        </w:tc>
      </w:tr>
      <w:tr w:rsidR="008D3447" w14:paraId="4A89F420" w14:textId="77777777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057C6A0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  <w:b/>
                <w:bCs/>
              </w:rPr>
              <w:t>ОРТ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B9276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43DE8465" w14:textId="77777777" w:rsidR="00B365EC" w:rsidRDefault="00B365EC">
            <w:pPr>
              <w:spacing w:after="60" w:line="276" w:lineRule="auto"/>
              <w:jc w:val="both"/>
            </w:pPr>
            <w:r>
              <w:rPr>
                <w:rFonts w:ascii="Arial" w:hAnsi="Arial" w:cs="Arial"/>
              </w:rPr>
              <w:t>Общереспубликанское тестирование;</w:t>
            </w:r>
          </w:p>
        </w:tc>
      </w:tr>
      <w:tr w:rsidR="008D3447" w14:paraId="4DE0C771" w14:textId="77777777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9675CDF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  <w:b/>
                <w:bCs/>
              </w:rPr>
              <w:t>ПК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2AA67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4D3037FD" w14:textId="77777777" w:rsidR="00B365EC" w:rsidRDefault="00B365EC">
            <w:pPr>
              <w:spacing w:after="60" w:line="276" w:lineRule="auto"/>
              <w:jc w:val="both"/>
            </w:pPr>
            <w:r>
              <w:rPr>
                <w:rFonts w:ascii="Arial" w:hAnsi="Arial" w:cs="Arial"/>
              </w:rPr>
              <w:t>повышение квалификации;</w:t>
            </w:r>
          </w:p>
        </w:tc>
      </w:tr>
      <w:tr w:rsidR="008D3447" w14:paraId="5A70E040" w14:textId="77777777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43500E6C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  <w:b/>
                <w:bCs/>
              </w:rPr>
              <w:t>ППС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60CF0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76B4CDF" w14:textId="77777777" w:rsidR="00B365EC" w:rsidRDefault="00B365EC">
            <w:pPr>
              <w:spacing w:after="60" w:line="276" w:lineRule="auto"/>
              <w:jc w:val="both"/>
            </w:pPr>
            <w:r>
              <w:rPr>
                <w:rFonts w:ascii="Arial" w:hAnsi="Arial" w:cs="Arial"/>
              </w:rPr>
              <w:t>профессорско-преподавательский состав;</w:t>
            </w:r>
          </w:p>
        </w:tc>
      </w:tr>
      <w:tr w:rsidR="008D3447" w14:paraId="242CDBB9" w14:textId="77777777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757DDE7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  <w:b/>
                <w:bCs/>
              </w:rPr>
              <w:t>СНГ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8BAEA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B576E3D" w14:textId="77777777" w:rsidR="00B365EC" w:rsidRDefault="00B365EC">
            <w:pPr>
              <w:spacing w:after="60" w:line="276" w:lineRule="auto"/>
              <w:jc w:val="both"/>
            </w:pPr>
            <w:r>
              <w:rPr>
                <w:rFonts w:ascii="Arial" w:hAnsi="Arial" w:cs="Arial"/>
              </w:rPr>
              <w:t>Содружество Независимых Государств;</w:t>
            </w:r>
          </w:p>
        </w:tc>
      </w:tr>
      <w:tr w:rsidR="008D3447" w14:paraId="5BA2EF24" w14:textId="77777777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67F61F92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  <w:b/>
                <w:bCs/>
              </w:rPr>
              <w:t>Спуз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61C4C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19187DE8" w14:textId="77777777" w:rsidR="00B365EC" w:rsidRDefault="00B365EC">
            <w:pPr>
              <w:spacing w:after="60" w:line="276" w:lineRule="auto"/>
              <w:jc w:val="both"/>
            </w:pPr>
            <w:r>
              <w:rPr>
                <w:rFonts w:ascii="Arial" w:hAnsi="Arial" w:cs="Arial"/>
              </w:rPr>
              <w:t>среднее профессиональное учебное заведение;</w:t>
            </w:r>
          </w:p>
        </w:tc>
      </w:tr>
      <w:tr w:rsidR="008D3447" w14:paraId="1A9D61EE" w14:textId="77777777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4BD2B52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  <w:b/>
                <w:bCs/>
              </w:rPr>
              <w:t>ЦУР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3AA34" w14:textId="77777777" w:rsidR="00B365EC" w:rsidRDefault="00B365EC">
            <w:pPr>
              <w:spacing w:after="60" w:line="276" w:lineRule="auto"/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1155652" w14:textId="77777777" w:rsidR="00B365EC" w:rsidRDefault="00B365EC">
            <w:pPr>
              <w:spacing w:after="60" w:line="276" w:lineRule="auto"/>
              <w:jc w:val="both"/>
            </w:pPr>
            <w:r>
              <w:rPr>
                <w:rFonts w:ascii="Arial" w:hAnsi="Arial" w:cs="Arial"/>
              </w:rPr>
              <w:t>цели устойчивого развития;</w:t>
            </w:r>
          </w:p>
        </w:tc>
      </w:tr>
      <w:tr w:rsidR="008D3447" w14:paraId="643C279D" w14:textId="77777777">
        <w:trPr>
          <w:trHeight w:val="80"/>
        </w:trPr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2C2AEA5" w14:textId="77777777" w:rsidR="00B365EC" w:rsidRDefault="00B365EC">
            <w:pPr>
              <w:spacing w:after="60"/>
            </w:pPr>
            <w:r>
              <w:rPr>
                <w:rFonts w:ascii="Arial" w:hAnsi="Arial" w:cs="Arial"/>
                <w:b/>
                <w:bCs/>
              </w:rPr>
              <w:t>ЮНИСЕФ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2B8D9" w14:textId="77777777" w:rsidR="00B365EC" w:rsidRDefault="00B365EC">
            <w:pPr>
              <w:spacing w:after="60"/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606A2C8E" w14:textId="77777777" w:rsidR="00B365EC" w:rsidRDefault="00B365EC">
            <w:pPr>
              <w:spacing w:after="60"/>
              <w:jc w:val="both"/>
            </w:pPr>
            <w:r>
              <w:rPr>
                <w:rFonts w:ascii="Arial" w:hAnsi="Arial" w:cs="Arial"/>
              </w:rPr>
              <w:t>детский фонд ООН.</w:t>
            </w:r>
          </w:p>
        </w:tc>
      </w:tr>
    </w:tbl>
    <w:p w14:paraId="72C89EAE" w14:textId="77777777" w:rsidR="00B365EC" w:rsidRDefault="00B365EC">
      <w:r>
        <w:t> </w:t>
      </w:r>
    </w:p>
    <w:sectPr w:rsidR="00B365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BC0F1" w14:textId="77777777" w:rsidR="00742139" w:rsidRDefault="00742139" w:rsidP="00742139">
      <w:r>
        <w:separator/>
      </w:r>
    </w:p>
  </w:endnote>
  <w:endnote w:type="continuationSeparator" w:id="0">
    <w:p w14:paraId="47913E57" w14:textId="77777777" w:rsidR="00742139" w:rsidRDefault="00742139" w:rsidP="00742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0FAB9" w14:textId="77777777" w:rsidR="00742139" w:rsidRDefault="007421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7F1BF" w14:textId="29C2C9E2" w:rsidR="00742139" w:rsidRPr="00742139" w:rsidRDefault="00742139" w:rsidP="00742139">
    <w:pPr>
      <w:pStyle w:val="a7"/>
      <w:jc w:val="center"/>
      <w:rPr>
        <w:color w:val="800000"/>
        <w:sz w:val="20"/>
      </w:rPr>
    </w:pPr>
    <w:r>
      <w:rPr>
        <w:color w:val="800000"/>
        <w:sz w:val="20"/>
      </w:rPr>
      <w:t>cbd.minjust.gov.kg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5D415" w14:textId="77777777" w:rsidR="00742139" w:rsidRDefault="007421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E84DC" w14:textId="77777777" w:rsidR="00742139" w:rsidRDefault="00742139" w:rsidP="00742139">
      <w:r>
        <w:separator/>
      </w:r>
    </w:p>
  </w:footnote>
  <w:footnote w:type="continuationSeparator" w:id="0">
    <w:p w14:paraId="5C9B9C2B" w14:textId="77777777" w:rsidR="00742139" w:rsidRDefault="00742139" w:rsidP="00742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5F238" w14:textId="77777777" w:rsidR="00742139" w:rsidRDefault="0074213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4D927" w14:textId="77777777" w:rsidR="00742139" w:rsidRDefault="00742139" w:rsidP="00742139">
    <w:pPr>
      <w:pStyle w:val="a5"/>
      <w:jc w:val="center"/>
      <w:rPr>
        <w:color w:val="0000FF"/>
        <w:sz w:val="20"/>
      </w:rPr>
    </w:pPr>
    <w:r>
      <w:rPr>
        <w:color w:val="0000FF"/>
        <w:sz w:val="20"/>
      </w:rPr>
      <w:t>Программа развития образования в Кыргызской Республике на 2021-2040 годы Приложение 1 (к постановлению Правительства Кыргызской Республики от 4 мая 2021 года № 200)</w:t>
    </w:r>
  </w:p>
  <w:p w14:paraId="6D1DC2B0" w14:textId="77777777" w:rsidR="00742139" w:rsidRDefault="00742139" w:rsidP="00742139">
    <w:pPr>
      <w:pStyle w:val="a5"/>
      <w:jc w:val="center"/>
      <w:rPr>
        <w:color w:val="0000FF"/>
        <w:sz w:val="20"/>
      </w:rPr>
    </w:pPr>
  </w:p>
  <w:p w14:paraId="177A0375" w14:textId="231B65D1" w:rsidR="00742139" w:rsidRPr="00742139" w:rsidRDefault="00742139" w:rsidP="00742139">
    <w:pPr>
      <w:pStyle w:val="a5"/>
      <w:jc w:val="center"/>
      <w:rPr>
        <w:color w:val="0000FF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D0094" w14:textId="77777777" w:rsidR="00742139" w:rsidRDefault="0074213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5EC"/>
    <w:rsid w:val="00742139"/>
    <w:rsid w:val="008D3447"/>
    <w:rsid w:val="00B3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D479BD"/>
  <w15:chartTrackingRefBased/>
  <w15:docId w15:val="{4966D8A1-5463-4F6C-A283-53102F1C6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7421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42139"/>
    <w:rPr>
      <w:rFonts w:eastAsiaTheme="minorEastAsia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7421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42139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bd.minjust.gov.kg/1216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s://cbd.minjust.gov.kg/92984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cbd.minjust.gov.kg/158226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6694</Words>
  <Characters>38158</Characters>
  <Application>Microsoft Office Word</Application>
  <DocSecurity>0</DocSecurity>
  <Lines>317</Lines>
  <Paragraphs>89</Paragraphs>
  <ScaleCrop>false</ScaleCrop>
  <Company/>
  <LinksUpToDate>false</LinksUpToDate>
  <CharactersWithSpaces>44763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mura</cp:lastModifiedBy>
  <cp:revision>2</cp:revision>
  <dcterms:created xsi:type="dcterms:W3CDTF">2024-05-13T08:11:00Z</dcterms:created>
  <dcterms:modified xsi:type="dcterms:W3CDTF">2024-05-13T08:11:00Z</dcterms:modified>
</cp:coreProperties>
</file>